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F7" w:rsidRPr="004D38A0" w:rsidRDefault="008167DC">
      <w:pPr>
        <w:pStyle w:val="Sottotitolo"/>
        <w:rPr>
          <w:b w:val="0"/>
          <w:bCs w:val="0"/>
          <w:i w:val="0"/>
          <w:iCs w:val="0"/>
          <w:sz w:val="22"/>
          <w:szCs w:val="22"/>
        </w:rPr>
      </w:pPr>
      <w:r>
        <w:rPr>
          <w:b w:val="0"/>
          <w:bCs w:val="0"/>
          <w:sz w:val="34"/>
          <w:szCs w:val="34"/>
        </w:rPr>
        <w:t xml:space="preserve">Performance – Plan </w:t>
      </w:r>
      <w:r>
        <w:rPr>
          <w:b w:val="0"/>
          <w:bCs w:val="0"/>
          <w:sz w:val="34"/>
          <w:szCs w:val="34"/>
        </w:rPr>
        <w:t>2015</w:t>
      </w:r>
    </w:p>
    <w:p w:rsidR="00876CF7" w:rsidRPr="004D38A0" w:rsidRDefault="00876CF7">
      <w:pPr>
        <w:pStyle w:val="Sottotitolo"/>
        <w:rPr>
          <w:b w:val="0"/>
          <w:bCs w:val="0"/>
          <w:i w:val="0"/>
          <w:iCs w:val="0"/>
          <w:sz w:val="22"/>
          <w:szCs w:val="22"/>
        </w:rPr>
      </w:pPr>
    </w:p>
    <w:p w:rsidR="00876CF7" w:rsidRPr="004D38A0" w:rsidRDefault="002E0BA5">
      <w:pPr>
        <w:pStyle w:val="Sottotitolo"/>
        <w:spacing w:line="360" w:lineRule="auto"/>
        <w:jc w:val="both"/>
        <w:rPr>
          <w:b w:val="0"/>
          <w:bCs w:val="0"/>
          <w:i w:val="0"/>
          <w:iCs w:val="0"/>
          <w:sz w:val="22"/>
          <w:szCs w:val="22"/>
        </w:rPr>
      </w:pPr>
      <w:r w:rsidRPr="004D38A0">
        <w:rPr>
          <w:b w:val="0"/>
          <w:bCs w:val="0"/>
          <w:i w:val="0"/>
          <w:iCs w:val="0"/>
          <w:sz w:val="22"/>
          <w:szCs w:val="22"/>
        </w:rPr>
        <w:t>Am Ende des Jahres 201</w:t>
      </w:r>
      <w:r w:rsidR="003C625A" w:rsidRPr="004D38A0">
        <w:rPr>
          <w:b w:val="0"/>
          <w:bCs w:val="0"/>
          <w:i w:val="0"/>
          <w:iCs w:val="0"/>
          <w:sz w:val="22"/>
          <w:szCs w:val="22"/>
        </w:rPr>
        <w:t>5</w:t>
      </w:r>
      <w:r w:rsidRPr="004D38A0">
        <w:rPr>
          <w:b w:val="0"/>
          <w:bCs w:val="0"/>
          <w:i w:val="0"/>
          <w:iCs w:val="0"/>
          <w:sz w:val="22"/>
          <w:szCs w:val="22"/>
        </w:rPr>
        <w:t xml:space="preserve"> wird das Anlagevermögen des Institutes auf € 1.</w:t>
      </w:r>
      <w:r w:rsidR="00FE416C" w:rsidRPr="004D38A0">
        <w:rPr>
          <w:b w:val="0"/>
          <w:bCs w:val="0"/>
          <w:i w:val="0"/>
          <w:iCs w:val="0"/>
          <w:sz w:val="22"/>
          <w:szCs w:val="22"/>
        </w:rPr>
        <w:t>2</w:t>
      </w:r>
      <w:r w:rsidR="003C625A" w:rsidRPr="004D38A0">
        <w:rPr>
          <w:b w:val="0"/>
          <w:bCs w:val="0"/>
          <w:i w:val="0"/>
          <w:iCs w:val="0"/>
          <w:sz w:val="22"/>
          <w:szCs w:val="22"/>
        </w:rPr>
        <w:t>7</w:t>
      </w:r>
      <w:r w:rsidR="00286A62">
        <w:rPr>
          <w:b w:val="0"/>
          <w:bCs w:val="0"/>
          <w:i w:val="0"/>
          <w:iCs w:val="0"/>
          <w:sz w:val="22"/>
          <w:szCs w:val="22"/>
        </w:rPr>
        <w:t>9</w:t>
      </w:r>
      <w:r w:rsidR="00FE416C" w:rsidRPr="004D38A0">
        <w:rPr>
          <w:b w:val="0"/>
          <w:bCs w:val="0"/>
          <w:i w:val="0"/>
          <w:iCs w:val="0"/>
          <w:sz w:val="22"/>
          <w:szCs w:val="22"/>
        </w:rPr>
        <w:t>.</w:t>
      </w:r>
      <w:r w:rsidR="00286A62">
        <w:rPr>
          <w:b w:val="0"/>
          <w:bCs w:val="0"/>
          <w:i w:val="0"/>
          <w:iCs w:val="0"/>
          <w:sz w:val="22"/>
          <w:szCs w:val="22"/>
        </w:rPr>
        <w:t>671</w:t>
      </w:r>
      <w:r w:rsidRPr="004D38A0">
        <w:rPr>
          <w:b w:val="0"/>
          <w:bCs w:val="0"/>
          <w:i w:val="0"/>
          <w:iCs w:val="0"/>
          <w:sz w:val="22"/>
          <w:szCs w:val="22"/>
        </w:rPr>
        <w:t>.000 ansteigen</w:t>
      </w:r>
      <w:r w:rsidR="00F87329" w:rsidRPr="004D38A0">
        <w:rPr>
          <w:b w:val="0"/>
          <w:bCs w:val="0"/>
          <w:i w:val="0"/>
          <w:iCs w:val="0"/>
          <w:sz w:val="22"/>
          <w:szCs w:val="22"/>
        </w:rPr>
        <w:t>.</w:t>
      </w:r>
    </w:p>
    <w:p w:rsidR="00876CF7" w:rsidRPr="004D38A0" w:rsidRDefault="00876CF7">
      <w:pPr>
        <w:pStyle w:val="Sottotitolo"/>
        <w:spacing w:line="240" w:lineRule="auto"/>
        <w:rPr>
          <w:b w:val="0"/>
          <w:bCs w:val="0"/>
          <w:i w:val="0"/>
          <w:iCs w:val="0"/>
          <w:sz w:val="22"/>
          <w:szCs w:val="22"/>
        </w:rPr>
      </w:pPr>
    </w:p>
    <w:p w:rsidR="00876CF7" w:rsidRPr="004D38A0" w:rsidRDefault="00876CF7">
      <w:pPr>
        <w:pStyle w:val="Sottotitolo"/>
        <w:spacing w:line="240" w:lineRule="auto"/>
        <w:rPr>
          <w:b w:val="0"/>
          <w:bCs w:val="0"/>
          <w:i w:val="0"/>
          <w:iCs w:val="0"/>
          <w:sz w:val="22"/>
          <w:szCs w:val="22"/>
        </w:rPr>
      </w:pPr>
    </w:p>
    <w:p w:rsidR="00E34492" w:rsidRPr="004D38A0" w:rsidRDefault="00E34492" w:rsidP="00E34492">
      <w:pPr>
        <w:jc w:val="both"/>
        <w:rPr>
          <w:rFonts w:ascii="Arial" w:hAnsi="Arial" w:cs="Arial"/>
          <w:b/>
          <w:bCs/>
          <w:sz w:val="22"/>
          <w:szCs w:val="22"/>
          <w:lang w:val="de-DE" w:eastAsia="en-US"/>
        </w:rPr>
      </w:pPr>
      <w:r w:rsidRPr="004D38A0">
        <w:rPr>
          <w:rFonts w:ascii="Arial" w:hAnsi="Arial" w:cs="Arial"/>
          <w:b/>
          <w:bCs/>
          <w:sz w:val="22"/>
          <w:szCs w:val="22"/>
          <w:lang w:val="de-DE" w:eastAsia="en-US"/>
        </w:rPr>
        <w:t>DURCHFÜHRUNG DER BAUPROGRAMME</w:t>
      </w:r>
    </w:p>
    <w:p w:rsidR="00E34492" w:rsidRPr="004D38A0" w:rsidRDefault="00E34492" w:rsidP="00E34492">
      <w:pPr>
        <w:jc w:val="both"/>
        <w:rPr>
          <w:rFonts w:ascii="Arial" w:hAnsi="Arial" w:cs="Arial"/>
          <w:b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Für die Durchführung der Bauprogramme des Jahres 2015 sind Arbeiten in der Höhe von </w:t>
      </w:r>
      <w:r w:rsidR="00B64CE7">
        <w:rPr>
          <w:rFonts w:ascii="Arial" w:hAnsi="Arial" w:cs="Arial"/>
          <w:sz w:val="22"/>
          <w:szCs w:val="22"/>
          <w:lang w:val="de-DE" w:eastAsia="en-US"/>
        </w:rPr>
        <w:t xml:space="preserve">     € </w:t>
      </w:r>
      <w:r w:rsidRPr="004D38A0">
        <w:rPr>
          <w:rFonts w:ascii="Arial" w:hAnsi="Arial" w:cs="Arial"/>
          <w:sz w:val="22"/>
          <w:szCs w:val="22"/>
          <w:lang w:val="de-DE" w:eastAsia="en-US"/>
        </w:rPr>
        <w:t>10.376.000 finanziert worden, während Projekte in der Höhe von</w:t>
      </w:r>
      <w:r w:rsidR="00B64CE7">
        <w:rPr>
          <w:rFonts w:ascii="Arial" w:hAnsi="Arial" w:cs="Arial"/>
          <w:sz w:val="22"/>
          <w:szCs w:val="22"/>
          <w:lang w:val="de-DE" w:eastAsia="en-US"/>
        </w:rPr>
        <w:t xml:space="preserve"> </w:t>
      </w:r>
      <w:r w:rsidR="00B64CE7" w:rsidRPr="002A7E34">
        <w:rPr>
          <w:rFonts w:ascii="Arial" w:hAnsi="Arial" w:cs="Arial"/>
          <w:sz w:val="22"/>
          <w:szCs w:val="22"/>
          <w:lang w:val="de-DE" w:eastAsia="en-US"/>
        </w:rPr>
        <w:t>€</w:t>
      </w:r>
      <w:r w:rsidRPr="002A7E34">
        <w:rPr>
          <w:rFonts w:ascii="Arial" w:hAnsi="Arial" w:cs="Arial"/>
          <w:sz w:val="22"/>
          <w:szCs w:val="22"/>
          <w:lang w:val="de-DE" w:eastAsia="en-US"/>
        </w:rPr>
        <w:t xml:space="preserve"> 20.720.000</w:t>
      </w:r>
      <w:r w:rsidRPr="004D38A0">
        <w:rPr>
          <w:rFonts w:ascii="Arial" w:hAnsi="Arial" w:cs="Arial"/>
          <w:sz w:val="22"/>
          <w:szCs w:val="22"/>
          <w:lang w:val="de-DE" w:eastAsia="en-US"/>
        </w:rPr>
        <w:t>, die sich auf den Erwerb von Baugründen, die Erschließungskosten, technische Spesen und effektive Baukosten beziehen, auf eine Finanzierung warten.</w:t>
      </w:r>
    </w:p>
    <w:p w:rsidR="00E34492"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Die Landesregierung hat mit Beschluss Nr. 437 vom 21.03.2011 das Bauprogramm für die Jahre 2011-2015 mit insgesamt 1.209 Wohnungen genehmigt. Von den 1.209 Wohnungen, die im Bauprogramm 2011-2015 vorgesehen sind, wurden bis zum 31.10.2014 90 Wohnungen fertiggestellt, 72 sind noch im Bau, 248 befinden sich in der Planung und für 113 Wohnungen ist ein Baugrund vorhanden.</w:t>
      </w:r>
    </w:p>
    <w:p w:rsidR="00724D7C" w:rsidRPr="004D38A0" w:rsidRDefault="00724D7C" w:rsidP="00E34492">
      <w:pPr>
        <w:autoSpaceDE w:val="0"/>
        <w:autoSpaceDN w:val="0"/>
        <w:adjustRightInd w:val="0"/>
        <w:spacing w:line="360" w:lineRule="auto"/>
        <w:jc w:val="both"/>
        <w:rPr>
          <w:rFonts w:ascii="Arial" w:hAnsi="Arial" w:cs="Arial"/>
          <w:sz w:val="22"/>
          <w:szCs w:val="22"/>
          <w:lang w:val="de-DE" w:eastAsia="en-US"/>
        </w:rPr>
      </w:pPr>
      <w:r>
        <w:rPr>
          <w:rFonts w:ascii="Arial" w:hAnsi="Arial" w:cs="Arial"/>
          <w:sz w:val="22"/>
          <w:szCs w:val="22"/>
          <w:lang w:val="de-DE" w:eastAsia="en-US"/>
        </w:rPr>
        <w:t>Die Durchführung der Bauprogramme könnte durch den vorgesehenen Übergang der Kompetenzen im Bereich des Baus von Sozialwohnungen vom Institut an das Land erheblich abweichen.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E34492" w:rsidP="00E34492">
      <w:pPr>
        <w:spacing w:line="360" w:lineRule="auto"/>
        <w:jc w:val="both"/>
        <w:rPr>
          <w:rFonts w:ascii="Arial" w:hAnsi="Arial" w:cs="Arial"/>
          <w:b/>
          <w:bCs/>
          <w:sz w:val="22"/>
          <w:szCs w:val="22"/>
          <w:lang w:val="de-DE" w:eastAsia="en-US"/>
        </w:rPr>
      </w:pPr>
      <w:r w:rsidRPr="004D38A0">
        <w:rPr>
          <w:rFonts w:ascii="Arial" w:hAnsi="Arial" w:cs="Arial"/>
          <w:b/>
          <w:bCs/>
          <w:sz w:val="22"/>
          <w:szCs w:val="22"/>
          <w:lang w:val="de-DE" w:eastAsia="en-US"/>
        </w:rPr>
        <w:t>GESAMTVORSCHAU FÜR NEUBAUTEN UND ANKÄUFE FÜR DAS JAHR 2015</w:t>
      </w:r>
    </w:p>
    <w:p w:rsidR="00E34492" w:rsidRPr="004D38A0" w:rsidRDefault="00E34492" w:rsidP="00E34492">
      <w:pPr>
        <w:jc w:val="both"/>
        <w:rPr>
          <w:rFonts w:ascii="Arial" w:hAnsi="Arial" w:cs="Arial"/>
          <w:b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Für das Jahr 2015 ist die Übergabe von 36 Wohnungen in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von 50 Wohnungen in Meran, von 8 Wohnungen in Brixen (</w:t>
      </w:r>
      <w:proofErr w:type="spellStart"/>
      <w:r w:rsidRPr="004D38A0">
        <w:rPr>
          <w:rFonts w:ascii="Arial" w:hAnsi="Arial" w:cs="Arial"/>
          <w:sz w:val="22"/>
          <w:szCs w:val="22"/>
          <w:lang w:val="de-DE" w:eastAsia="en-US"/>
        </w:rPr>
        <w:t>Hartwiggasse</w:t>
      </w:r>
      <w:proofErr w:type="spellEnd"/>
      <w:r w:rsidRPr="004D38A0">
        <w:rPr>
          <w:rFonts w:ascii="Arial" w:hAnsi="Arial" w:cs="Arial"/>
          <w:sz w:val="22"/>
          <w:szCs w:val="22"/>
          <w:lang w:val="de-DE" w:eastAsia="en-US"/>
        </w:rPr>
        <w:t>) und von 6 Wohnungen in Schluderns vorgesehen.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w:t>
      </w:r>
      <w:r w:rsidR="00105941">
        <w:rPr>
          <w:rFonts w:ascii="Arial" w:hAnsi="Arial" w:cs="Arial"/>
          <w:sz w:val="22"/>
          <w:szCs w:val="22"/>
          <w:lang w:val="de-DE" w:eastAsia="en-US"/>
        </w:rPr>
        <w:t xml:space="preserve">vorgesehenen </w:t>
      </w:r>
      <w:r w:rsidRPr="004D38A0">
        <w:rPr>
          <w:rFonts w:ascii="Arial" w:hAnsi="Arial" w:cs="Arial"/>
          <w:sz w:val="22"/>
          <w:szCs w:val="22"/>
          <w:lang w:val="de-DE" w:eastAsia="en-US"/>
        </w:rPr>
        <w:t xml:space="preserve">Baustellen </w:t>
      </w:r>
      <w:r w:rsidR="00105941">
        <w:rPr>
          <w:rFonts w:ascii="Arial" w:hAnsi="Arial" w:cs="Arial"/>
          <w:sz w:val="22"/>
          <w:szCs w:val="22"/>
          <w:lang w:val="de-DE" w:eastAsia="en-US"/>
        </w:rPr>
        <w:t xml:space="preserve">für 2015 </w:t>
      </w:r>
      <w:r w:rsidRPr="004D38A0">
        <w:rPr>
          <w:rFonts w:ascii="Arial" w:hAnsi="Arial" w:cs="Arial"/>
          <w:sz w:val="22"/>
          <w:szCs w:val="22"/>
          <w:lang w:val="de-DE" w:eastAsia="en-US"/>
        </w:rPr>
        <w:t xml:space="preserve">(mit bereits bestätigter Finanzierung) sind folgende: </w:t>
      </w:r>
    </w:p>
    <w:p w:rsidR="00E34492" w:rsidRPr="004D38A0" w:rsidRDefault="00E34492"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proofErr w:type="spellStart"/>
      <w:r w:rsidRPr="004D38A0">
        <w:rPr>
          <w:rFonts w:ascii="Arial" w:hAnsi="Arial" w:cs="Arial"/>
          <w:sz w:val="22"/>
          <w:szCs w:val="22"/>
          <w:lang w:val="de-DE" w:eastAsia="en-US"/>
        </w:rPr>
        <w:t>Naturns</w:t>
      </w:r>
      <w:proofErr w:type="spellEnd"/>
      <w:r w:rsidRPr="004D38A0">
        <w:rPr>
          <w:rFonts w:ascii="Arial" w:hAnsi="Arial" w:cs="Arial"/>
          <w:sz w:val="22"/>
          <w:szCs w:val="22"/>
          <w:lang w:val="de-DE" w:eastAsia="en-US"/>
        </w:rPr>
        <w:t>, 1</w:t>
      </w:r>
      <w:r w:rsidR="00E52F1A">
        <w:rPr>
          <w:rFonts w:ascii="Arial" w:hAnsi="Arial" w:cs="Arial"/>
          <w:sz w:val="22"/>
          <w:szCs w:val="22"/>
          <w:lang w:val="de-DE" w:eastAsia="en-US"/>
        </w:rPr>
        <w:t>0</w:t>
      </w:r>
      <w:r w:rsidRPr="004D38A0">
        <w:rPr>
          <w:rFonts w:ascii="Arial" w:hAnsi="Arial" w:cs="Arial"/>
          <w:sz w:val="22"/>
          <w:szCs w:val="22"/>
          <w:lang w:val="de-DE" w:eastAsia="en-US"/>
        </w:rPr>
        <w:t xml:space="preserve"> Wohnungen (Sanierung und</w:t>
      </w:r>
      <w:r w:rsidR="00E52F1A">
        <w:rPr>
          <w:rFonts w:ascii="Arial" w:hAnsi="Arial" w:cs="Arial"/>
          <w:sz w:val="22"/>
          <w:szCs w:val="22"/>
          <w:lang w:val="de-DE" w:eastAsia="en-US"/>
        </w:rPr>
        <w:t xml:space="preserve"> Umbau ehemaliges „Altersheim“)</w:t>
      </w:r>
    </w:p>
    <w:p w:rsidR="00E34492" w:rsidRPr="004D38A0" w:rsidRDefault="00E52F1A"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proofErr w:type="spellStart"/>
      <w:r>
        <w:rPr>
          <w:rFonts w:ascii="Arial" w:hAnsi="Arial" w:cs="Arial"/>
          <w:sz w:val="22"/>
          <w:szCs w:val="22"/>
          <w:lang w:val="de-DE" w:eastAsia="en-US"/>
        </w:rPr>
        <w:t>Tisens</w:t>
      </w:r>
      <w:proofErr w:type="spellEnd"/>
      <w:r>
        <w:rPr>
          <w:rFonts w:ascii="Arial" w:hAnsi="Arial" w:cs="Arial"/>
          <w:sz w:val="22"/>
          <w:szCs w:val="22"/>
          <w:lang w:val="de-DE" w:eastAsia="en-US"/>
        </w:rPr>
        <w:t>, 7 Wohnungen</w:t>
      </w:r>
    </w:p>
    <w:p w:rsidR="00E34492" w:rsidRPr="004D38A0" w:rsidRDefault="00E52F1A"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r>
        <w:rPr>
          <w:rFonts w:ascii="Arial" w:hAnsi="Arial" w:cs="Arial"/>
          <w:sz w:val="22"/>
          <w:szCs w:val="22"/>
          <w:lang w:val="de-DE" w:eastAsia="en-US"/>
        </w:rPr>
        <w:t>Schluderns, 6 Wohnungen</w:t>
      </w:r>
    </w:p>
    <w:p w:rsidR="00E34492" w:rsidRPr="004D38A0" w:rsidRDefault="00E52F1A"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r>
        <w:rPr>
          <w:rFonts w:ascii="Arial" w:hAnsi="Arial" w:cs="Arial"/>
          <w:sz w:val="22"/>
          <w:szCs w:val="22"/>
          <w:lang w:val="de-DE" w:eastAsia="en-US"/>
        </w:rPr>
        <w:t>Kiens, 4 Wohnungen</w:t>
      </w:r>
    </w:p>
    <w:p w:rsidR="00E34492" w:rsidRPr="004D38A0" w:rsidRDefault="00E52F1A"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r>
        <w:rPr>
          <w:rFonts w:ascii="Arial" w:hAnsi="Arial" w:cs="Arial"/>
          <w:sz w:val="22"/>
          <w:szCs w:val="22"/>
          <w:lang w:val="de-DE" w:eastAsia="en-US"/>
        </w:rPr>
        <w:t>Klausen, 15 Wohnungen</w:t>
      </w:r>
    </w:p>
    <w:p w:rsidR="00E34492" w:rsidRPr="004D38A0" w:rsidRDefault="00E52F1A" w:rsidP="00E34492">
      <w:pPr>
        <w:numPr>
          <w:ilvl w:val="0"/>
          <w:numId w:val="24"/>
        </w:numPr>
        <w:autoSpaceDE w:val="0"/>
        <w:autoSpaceDN w:val="0"/>
        <w:adjustRightInd w:val="0"/>
        <w:spacing w:line="360" w:lineRule="auto"/>
        <w:ind w:left="360"/>
        <w:jc w:val="both"/>
        <w:rPr>
          <w:rFonts w:ascii="Arial" w:hAnsi="Arial" w:cs="Arial"/>
          <w:sz w:val="22"/>
          <w:szCs w:val="22"/>
          <w:lang w:val="de-DE" w:eastAsia="en-US"/>
        </w:rPr>
      </w:pPr>
      <w:r>
        <w:rPr>
          <w:rFonts w:ascii="Arial" w:hAnsi="Arial" w:cs="Arial"/>
          <w:sz w:val="22"/>
          <w:szCs w:val="22"/>
          <w:lang w:val="de-DE" w:eastAsia="en-US"/>
        </w:rPr>
        <w:t>Lana, 16 Wohnungen</w:t>
      </w:r>
    </w:p>
    <w:p w:rsidR="00E34492" w:rsidRPr="004D38A0" w:rsidRDefault="00E34492" w:rsidP="00E34492">
      <w:pPr>
        <w:numPr>
          <w:ilvl w:val="0"/>
          <w:numId w:val="24"/>
        </w:numPr>
        <w:autoSpaceDE w:val="0"/>
        <w:autoSpaceDN w:val="0"/>
        <w:adjustRightInd w:val="0"/>
        <w:spacing w:line="360" w:lineRule="auto"/>
        <w:ind w:left="360"/>
        <w:contextualSpacing/>
        <w:jc w:val="both"/>
        <w:rPr>
          <w:rFonts w:ascii="Arial" w:hAnsi="Arial" w:cs="Arial"/>
          <w:sz w:val="22"/>
          <w:szCs w:val="22"/>
          <w:lang w:val="de-DE" w:eastAsia="en-US"/>
        </w:rPr>
      </w:pPr>
      <w:r w:rsidRPr="004D38A0">
        <w:rPr>
          <w:rFonts w:ascii="Arial" w:hAnsi="Arial" w:cs="Arial"/>
          <w:sz w:val="22"/>
          <w:szCs w:val="22"/>
          <w:lang w:val="de-DE" w:eastAsia="en-US"/>
        </w:rPr>
        <w:t xml:space="preserve">Meran, 25 Wohnungen </w:t>
      </w:r>
    </w:p>
    <w:p w:rsidR="00E34492" w:rsidRPr="004D38A0" w:rsidRDefault="00E52F1A" w:rsidP="00E34492">
      <w:pPr>
        <w:numPr>
          <w:ilvl w:val="0"/>
          <w:numId w:val="24"/>
        </w:numPr>
        <w:autoSpaceDE w:val="0"/>
        <w:autoSpaceDN w:val="0"/>
        <w:adjustRightInd w:val="0"/>
        <w:spacing w:line="360" w:lineRule="auto"/>
        <w:ind w:left="360"/>
        <w:contextualSpacing/>
        <w:jc w:val="both"/>
        <w:rPr>
          <w:rFonts w:ascii="Arial" w:hAnsi="Arial" w:cs="Arial"/>
          <w:sz w:val="22"/>
          <w:szCs w:val="22"/>
          <w:lang w:val="de-DE" w:eastAsia="en-US"/>
        </w:rPr>
      </w:pPr>
      <w:proofErr w:type="spellStart"/>
      <w:r>
        <w:rPr>
          <w:rFonts w:ascii="Arial" w:hAnsi="Arial" w:cs="Arial"/>
          <w:sz w:val="22"/>
          <w:szCs w:val="22"/>
          <w:lang w:val="de-DE" w:eastAsia="en-US"/>
        </w:rPr>
        <w:t>Feldthurns</w:t>
      </w:r>
      <w:proofErr w:type="spellEnd"/>
      <w:r>
        <w:rPr>
          <w:rFonts w:ascii="Arial" w:hAnsi="Arial" w:cs="Arial"/>
          <w:sz w:val="22"/>
          <w:szCs w:val="22"/>
          <w:lang w:val="de-DE" w:eastAsia="en-US"/>
        </w:rPr>
        <w:t xml:space="preserve"> 7 Wohnungen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Abzuschließende Ankäufe:</w:t>
      </w:r>
    </w:p>
    <w:p w:rsidR="00E34492" w:rsidRPr="004D38A0" w:rsidRDefault="00E52F1A"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Laas</w:t>
      </w:r>
      <w:proofErr w:type="spellEnd"/>
      <w:r>
        <w:rPr>
          <w:rFonts w:ascii="Arial" w:hAnsi="Arial" w:cs="Arial"/>
          <w:sz w:val="22"/>
          <w:szCs w:val="22"/>
          <w:lang w:val="de-DE" w:eastAsia="en-US"/>
        </w:rPr>
        <w:t>, Ankauf von 6 Wohnungen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lastRenderedPageBreak/>
        <w:t>Die Projekte in Ausarbeitung, welche 2015 abgeschlossen und genehmigt werden, aber vorläufig ohne Finanzierung sind, sind folgende:</w:t>
      </w:r>
    </w:p>
    <w:p w:rsidR="00E34492" w:rsidRPr="004D38A0" w:rsidRDefault="008B17CC" w:rsidP="00E34492">
      <w:pPr>
        <w:numPr>
          <w:ilvl w:val="0"/>
          <w:numId w:val="27"/>
        </w:numPr>
        <w:autoSpaceDE w:val="0"/>
        <w:autoSpaceDN w:val="0"/>
        <w:adjustRightInd w:val="0"/>
        <w:spacing w:line="360" w:lineRule="auto"/>
        <w:jc w:val="both"/>
        <w:rPr>
          <w:rFonts w:ascii="Arial" w:hAnsi="Arial" w:cs="Arial"/>
          <w:sz w:val="22"/>
          <w:szCs w:val="22"/>
          <w:lang w:val="de-DE" w:eastAsia="en-US"/>
        </w:rPr>
      </w:pPr>
      <w:proofErr w:type="spellStart"/>
      <w:r>
        <w:rPr>
          <w:rFonts w:ascii="Arial" w:hAnsi="Arial" w:cs="Arial"/>
          <w:sz w:val="22"/>
          <w:szCs w:val="22"/>
          <w:lang w:val="de-DE" w:eastAsia="en-US"/>
        </w:rPr>
        <w:t>Tramin</w:t>
      </w:r>
      <w:proofErr w:type="spellEnd"/>
      <w:r>
        <w:rPr>
          <w:rFonts w:ascii="Arial" w:hAnsi="Arial" w:cs="Arial"/>
          <w:sz w:val="22"/>
          <w:szCs w:val="22"/>
          <w:lang w:val="de-DE" w:eastAsia="en-US"/>
        </w:rPr>
        <w:t>, 4 Wohnungen</w:t>
      </w:r>
    </w:p>
    <w:p w:rsidR="00E34492" w:rsidRPr="004D38A0" w:rsidRDefault="00E34492" w:rsidP="00E34492">
      <w:pPr>
        <w:numPr>
          <w:ilvl w:val="0"/>
          <w:numId w:val="27"/>
        </w:numPr>
        <w:autoSpaceDE w:val="0"/>
        <w:autoSpaceDN w:val="0"/>
        <w:adjustRightInd w:val="0"/>
        <w:spacing w:line="360" w:lineRule="auto"/>
        <w:contextualSpacing/>
        <w:jc w:val="both"/>
        <w:rPr>
          <w:rFonts w:ascii="Arial" w:hAnsi="Arial" w:cs="Arial"/>
          <w:sz w:val="22"/>
          <w:szCs w:val="22"/>
          <w:lang w:val="de-DE" w:eastAsia="en-US"/>
        </w:rPr>
      </w:pPr>
      <w:proofErr w:type="spellStart"/>
      <w:r w:rsidRPr="004D38A0">
        <w:rPr>
          <w:rFonts w:ascii="Arial" w:hAnsi="Arial" w:cs="Arial"/>
          <w:sz w:val="22"/>
          <w:szCs w:val="22"/>
          <w:lang w:val="de-DE" w:eastAsia="en-US"/>
        </w:rPr>
        <w:t>Pfatten</w:t>
      </w:r>
      <w:proofErr w:type="spellEnd"/>
      <w:r w:rsidRPr="004D38A0">
        <w:rPr>
          <w:rFonts w:ascii="Arial" w:hAnsi="Arial" w:cs="Arial"/>
          <w:sz w:val="22"/>
          <w:szCs w:val="22"/>
          <w:lang w:val="de-DE" w:eastAsia="en-US"/>
        </w:rPr>
        <w:t>, 4 Wohn</w:t>
      </w:r>
      <w:r w:rsidR="008B17CC">
        <w:rPr>
          <w:rFonts w:ascii="Arial" w:hAnsi="Arial" w:cs="Arial"/>
          <w:sz w:val="22"/>
          <w:szCs w:val="22"/>
          <w:lang w:val="de-DE" w:eastAsia="en-US"/>
        </w:rPr>
        <w:t>ungen (Projekt Nullenergiehaus)</w:t>
      </w:r>
    </w:p>
    <w:p w:rsidR="00E34492" w:rsidRPr="004D38A0" w:rsidRDefault="008B17CC" w:rsidP="00E34492">
      <w:pPr>
        <w:numPr>
          <w:ilvl w:val="0"/>
          <w:numId w:val="27"/>
        </w:numPr>
        <w:autoSpaceDE w:val="0"/>
        <w:autoSpaceDN w:val="0"/>
        <w:adjustRightInd w:val="0"/>
        <w:spacing w:line="360" w:lineRule="auto"/>
        <w:jc w:val="both"/>
        <w:rPr>
          <w:rFonts w:ascii="Arial" w:hAnsi="Arial" w:cs="Arial"/>
          <w:sz w:val="22"/>
          <w:szCs w:val="22"/>
          <w:lang w:val="de-DE" w:eastAsia="en-US"/>
        </w:rPr>
      </w:pPr>
      <w:r>
        <w:rPr>
          <w:rFonts w:ascii="Arial" w:hAnsi="Arial" w:cs="Arial"/>
          <w:sz w:val="22"/>
          <w:szCs w:val="22"/>
          <w:lang w:val="de-DE" w:eastAsia="en-US"/>
        </w:rPr>
        <w:t>Ritten, 9 Wohnungen</w:t>
      </w:r>
    </w:p>
    <w:p w:rsidR="00E34492" w:rsidRPr="004D38A0" w:rsidRDefault="00E34492" w:rsidP="00E34492">
      <w:pPr>
        <w:numPr>
          <w:ilvl w:val="0"/>
          <w:numId w:val="27"/>
        </w:num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Sankt Leonard in </w:t>
      </w:r>
      <w:proofErr w:type="spellStart"/>
      <w:r w:rsidRPr="004D38A0">
        <w:rPr>
          <w:rFonts w:ascii="Arial" w:hAnsi="Arial" w:cs="Arial"/>
          <w:sz w:val="22"/>
          <w:szCs w:val="22"/>
          <w:lang w:val="de-DE" w:eastAsia="en-US"/>
        </w:rPr>
        <w:t>Passeier</w:t>
      </w:r>
      <w:proofErr w:type="spellEnd"/>
      <w:r w:rsidRPr="004D38A0">
        <w:rPr>
          <w:rFonts w:ascii="Arial" w:hAnsi="Arial" w:cs="Arial"/>
          <w:sz w:val="22"/>
          <w:szCs w:val="22"/>
          <w:lang w:val="de-DE" w:eastAsia="en-US"/>
        </w:rPr>
        <w:t>, 14</w:t>
      </w:r>
      <w:r w:rsidR="008B17CC">
        <w:rPr>
          <w:rFonts w:ascii="Arial" w:hAnsi="Arial" w:cs="Arial"/>
          <w:sz w:val="22"/>
          <w:szCs w:val="22"/>
          <w:lang w:val="de-DE" w:eastAsia="en-US"/>
        </w:rPr>
        <w:t xml:space="preserve"> Wohnungen</w:t>
      </w:r>
    </w:p>
    <w:p w:rsidR="00E34492" w:rsidRPr="004D38A0" w:rsidRDefault="00E34492" w:rsidP="00E34492">
      <w:pPr>
        <w:numPr>
          <w:ilvl w:val="0"/>
          <w:numId w:val="27"/>
        </w:num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Brixen 18 Wohnungen (9 für die Rangordnung “a</w:t>
      </w:r>
      <w:r w:rsidR="008B17CC">
        <w:rPr>
          <w:rFonts w:ascii="Arial" w:hAnsi="Arial" w:cs="Arial"/>
          <w:sz w:val="22"/>
          <w:szCs w:val="22"/>
          <w:lang w:val="de-DE" w:eastAsia="en-US"/>
        </w:rPr>
        <w:t>lte Leute“ + 9 für Mittelstand)</w:t>
      </w:r>
    </w:p>
    <w:p w:rsidR="00E34492" w:rsidRPr="004D38A0" w:rsidRDefault="008B17CC" w:rsidP="00E34492">
      <w:pPr>
        <w:numPr>
          <w:ilvl w:val="0"/>
          <w:numId w:val="27"/>
        </w:numPr>
        <w:autoSpaceDE w:val="0"/>
        <w:autoSpaceDN w:val="0"/>
        <w:adjustRightInd w:val="0"/>
        <w:spacing w:line="360" w:lineRule="auto"/>
        <w:jc w:val="both"/>
        <w:rPr>
          <w:rFonts w:ascii="Arial" w:hAnsi="Arial" w:cs="Arial"/>
          <w:sz w:val="22"/>
          <w:szCs w:val="22"/>
          <w:lang w:val="de-DE" w:eastAsia="en-US"/>
        </w:rPr>
      </w:pPr>
      <w:proofErr w:type="spellStart"/>
      <w:r>
        <w:rPr>
          <w:rFonts w:ascii="Arial" w:hAnsi="Arial" w:cs="Arial"/>
          <w:sz w:val="22"/>
          <w:szCs w:val="22"/>
          <w:lang w:val="de-DE" w:eastAsia="en-US"/>
        </w:rPr>
        <w:t>Innichen</w:t>
      </w:r>
      <w:proofErr w:type="spellEnd"/>
      <w:r>
        <w:rPr>
          <w:rFonts w:ascii="Arial" w:hAnsi="Arial" w:cs="Arial"/>
          <w:sz w:val="22"/>
          <w:szCs w:val="22"/>
          <w:lang w:val="de-DE" w:eastAsia="en-US"/>
        </w:rPr>
        <w:t>, 16 Wohnungen</w:t>
      </w:r>
    </w:p>
    <w:p w:rsidR="00E34492" w:rsidRPr="004D38A0" w:rsidRDefault="00E34492" w:rsidP="00E34492">
      <w:pPr>
        <w:numPr>
          <w:ilvl w:val="0"/>
          <w:numId w:val="27"/>
        </w:numPr>
        <w:autoSpaceDE w:val="0"/>
        <w:autoSpaceDN w:val="0"/>
        <w:adjustRightInd w:val="0"/>
        <w:spacing w:line="360" w:lineRule="auto"/>
        <w:jc w:val="both"/>
        <w:rPr>
          <w:rFonts w:ascii="Arial" w:hAnsi="Arial" w:cs="Arial"/>
          <w:sz w:val="22"/>
          <w:szCs w:val="22"/>
          <w:lang w:val="de-DE" w:eastAsia="en-US"/>
        </w:rPr>
      </w:pPr>
      <w:proofErr w:type="spellStart"/>
      <w:r w:rsidRPr="004D38A0">
        <w:rPr>
          <w:rFonts w:ascii="Arial" w:hAnsi="Arial" w:cs="Arial"/>
          <w:sz w:val="22"/>
          <w:szCs w:val="22"/>
          <w:lang w:val="de-DE" w:eastAsia="en-US"/>
        </w:rPr>
        <w:t>Lei</w:t>
      </w:r>
      <w:r w:rsidR="008B17CC">
        <w:rPr>
          <w:rFonts w:ascii="Arial" w:hAnsi="Arial" w:cs="Arial"/>
          <w:sz w:val="22"/>
          <w:szCs w:val="22"/>
          <w:lang w:val="de-DE" w:eastAsia="en-US"/>
        </w:rPr>
        <w:t>fers</w:t>
      </w:r>
      <w:proofErr w:type="spellEnd"/>
      <w:r w:rsidR="008B17CC">
        <w:rPr>
          <w:rFonts w:ascii="Arial" w:hAnsi="Arial" w:cs="Arial"/>
          <w:sz w:val="22"/>
          <w:szCs w:val="22"/>
          <w:lang w:val="de-DE" w:eastAsia="en-US"/>
        </w:rPr>
        <w:t xml:space="preserve"> 27 Wohnungen (Mittelstand)</w:t>
      </w:r>
    </w:p>
    <w:p w:rsidR="00E34492" w:rsidRPr="004D38A0" w:rsidRDefault="00E34492"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proofErr w:type="spellStart"/>
      <w:r w:rsidRPr="004D38A0">
        <w:rPr>
          <w:rFonts w:ascii="Arial" w:hAnsi="Arial" w:cs="Arial"/>
          <w:sz w:val="22"/>
          <w:szCs w:val="22"/>
          <w:lang w:val="de-DE" w:eastAsia="en-US"/>
        </w:rPr>
        <w:t>Andrian</w:t>
      </w:r>
      <w:proofErr w:type="spellEnd"/>
      <w:r w:rsidRPr="004D38A0">
        <w:rPr>
          <w:rFonts w:ascii="Arial" w:hAnsi="Arial" w:cs="Arial"/>
          <w:sz w:val="22"/>
          <w:szCs w:val="22"/>
          <w:lang w:val="de-DE" w:eastAsia="en-US"/>
        </w:rPr>
        <w:t>, 4 Wohnungen</w:t>
      </w:r>
    </w:p>
    <w:p w:rsidR="00E34492" w:rsidRPr="004D38A0" w:rsidRDefault="008B17CC"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Gais</w:t>
      </w:r>
      <w:proofErr w:type="spellEnd"/>
      <w:r>
        <w:rPr>
          <w:rFonts w:ascii="Arial" w:hAnsi="Arial" w:cs="Arial"/>
          <w:sz w:val="22"/>
          <w:szCs w:val="22"/>
          <w:lang w:val="de-DE" w:eastAsia="en-US"/>
        </w:rPr>
        <w:t>, 9 Wohnungen</w:t>
      </w:r>
    </w:p>
    <w:p w:rsidR="00E34492" w:rsidRPr="004D38A0" w:rsidRDefault="008B17CC"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Ulten</w:t>
      </w:r>
      <w:proofErr w:type="spellEnd"/>
      <w:r>
        <w:rPr>
          <w:rFonts w:ascii="Arial" w:hAnsi="Arial" w:cs="Arial"/>
          <w:sz w:val="22"/>
          <w:szCs w:val="22"/>
          <w:lang w:val="de-DE" w:eastAsia="en-US"/>
        </w:rPr>
        <w:t>, 6 Wohnungen</w:t>
      </w:r>
    </w:p>
    <w:p w:rsidR="00E34492" w:rsidRPr="004D38A0" w:rsidRDefault="008B17CC"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r>
        <w:rPr>
          <w:rFonts w:ascii="Arial" w:hAnsi="Arial" w:cs="Arial"/>
          <w:sz w:val="22"/>
          <w:szCs w:val="22"/>
          <w:lang w:val="de-DE" w:eastAsia="en-US"/>
        </w:rPr>
        <w:t>Tirol, 8 Wohnungen</w:t>
      </w:r>
    </w:p>
    <w:p w:rsidR="00E34492" w:rsidRPr="004D38A0" w:rsidRDefault="00E34492"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Bozen, 16 Wohnungen (Pfarrhof)</w:t>
      </w:r>
    </w:p>
    <w:p w:rsidR="00E34492" w:rsidRPr="004D38A0" w:rsidRDefault="00E34492"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Bozen, 55 Wohnungen (ehema</w:t>
      </w:r>
      <w:r w:rsidR="008B17CC">
        <w:rPr>
          <w:rFonts w:ascii="Arial" w:hAnsi="Arial" w:cs="Arial"/>
          <w:sz w:val="22"/>
          <w:szCs w:val="22"/>
          <w:lang w:val="de-DE" w:eastAsia="en-US"/>
        </w:rPr>
        <w:t>liges Lehrlingsheim in Haslach)</w:t>
      </w:r>
    </w:p>
    <w:p w:rsidR="00E34492" w:rsidRPr="004D38A0" w:rsidRDefault="008B17CC" w:rsidP="00E34492">
      <w:pPr>
        <w:numPr>
          <w:ilvl w:val="0"/>
          <w:numId w:val="26"/>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Bruneck</w:t>
      </w:r>
      <w:proofErr w:type="spellEnd"/>
      <w:r>
        <w:rPr>
          <w:rFonts w:ascii="Arial" w:hAnsi="Arial" w:cs="Arial"/>
          <w:sz w:val="22"/>
          <w:szCs w:val="22"/>
          <w:lang w:val="de-DE" w:eastAsia="en-US"/>
        </w:rPr>
        <w:t>, 15 Wohnungen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Die angekauften Gründe, für welche die Projektierung auf Grund fehlender Finanzierung noch nicht vorgenommen worden ist, sind folgende:</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Pr>
          <w:rFonts w:ascii="Arial" w:hAnsi="Arial" w:cs="Arial"/>
          <w:sz w:val="22"/>
          <w:szCs w:val="22"/>
          <w:lang w:val="de-DE" w:eastAsia="en-US"/>
        </w:rPr>
        <w:t>Abtei, 5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Bozen 18 Wohnungen (</w:t>
      </w:r>
      <w:proofErr w:type="spellStart"/>
      <w:r w:rsidRPr="004D38A0">
        <w:rPr>
          <w:rFonts w:ascii="Arial" w:hAnsi="Arial" w:cs="Arial"/>
          <w:sz w:val="22"/>
          <w:szCs w:val="22"/>
          <w:lang w:val="de-DE" w:eastAsia="en-US"/>
        </w:rPr>
        <w:t>Drususallee</w:t>
      </w:r>
      <w:proofErr w:type="spellEnd"/>
      <w:r w:rsidRPr="004D38A0">
        <w:rPr>
          <w:rFonts w:ascii="Arial" w:hAnsi="Arial" w:cs="Arial"/>
          <w:sz w:val="22"/>
          <w:szCs w:val="22"/>
          <w:lang w:val="de-DE" w:eastAsia="en-US"/>
        </w:rPr>
        <w:t>) – Grundankauf vom Verwaltungsrat beschlosse</w:t>
      </w:r>
      <w:r w:rsidR="002D3642">
        <w:rPr>
          <w:rFonts w:ascii="Arial" w:hAnsi="Arial" w:cs="Arial"/>
          <w:sz w:val="22"/>
          <w:szCs w:val="22"/>
          <w:lang w:val="de-DE" w:eastAsia="en-US"/>
        </w:rPr>
        <w:t>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Pr>
          <w:rFonts w:ascii="Arial" w:hAnsi="Arial" w:cs="Arial"/>
          <w:sz w:val="22"/>
          <w:szCs w:val="22"/>
          <w:lang w:val="de-DE" w:eastAsia="en-US"/>
        </w:rPr>
        <w:t xml:space="preserve">Bozen 16 Wohnungen (3 </w:t>
      </w:r>
      <w:proofErr w:type="spellStart"/>
      <w:r>
        <w:rPr>
          <w:rFonts w:ascii="Arial" w:hAnsi="Arial" w:cs="Arial"/>
          <w:sz w:val="22"/>
          <w:szCs w:val="22"/>
          <w:lang w:val="de-DE" w:eastAsia="en-US"/>
        </w:rPr>
        <w:t>Gobbi</w:t>
      </w:r>
      <w:proofErr w:type="spellEnd"/>
      <w:r>
        <w:rPr>
          <w:rFonts w:ascii="Arial" w:hAnsi="Arial" w:cs="Arial"/>
          <w:sz w:val="22"/>
          <w:szCs w:val="22"/>
          <w:lang w:val="de-DE" w:eastAsia="en-US"/>
        </w:rPr>
        <w:t>)</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Kastelruth</w:t>
      </w:r>
      <w:proofErr w:type="spellEnd"/>
      <w:r>
        <w:rPr>
          <w:rFonts w:ascii="Arial" w:hAnsi="Arial" w:cs="Arial"/>
          <w:sz w:val="22"/>
          <w:szCs w:val="22"/>
          <w:lang w:val="de-DE" w:eastAsia="en-US"/>
        </w:rPr>
        <w:t>, 6 Wohnungen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Pr>
          <w:rFonts w:ascii="Arial" w:hAnsi="Arial" w:cs="Arial"/>
          <w:sz w:val="22"/>
          <w:szCs w:val="22"/>
          <w:lang w:val="de-DE" w:eastAsia="en-US"/>
        </w:rPr>
        <w:t>Neumarkt, 12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Niederdorf, 4 Wohnungen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Ratschings</w:t>
      </w:r>
      <w:proofErr w:type="spellEnd"/>
      <w:r>
        <w:rPr>
          <w:rFonts w:ascii="Arial" w:hAnsi="Arial" w:cs="Arial"/>
          <w:sz w:val="22"/>
          <w:szCs w:val="22"/>
          <w:lang w:val="de-DE" w:eastAsia="en-US"/>
        </w:rPr>
        <w:t>, 5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St. Lorenzen, 5 Woh</w:t>
      </w:r>
      <w:r w:rsidR="002D3642">
        <w:rPr>
          <w:rFonts w:ascii="Arial" w:hAnsi="Arial" w:cs="Arial"/>
          <w:sz w:val="22"/>
          <w:szCs w:val="22"/>
          <w:lang w:val="de-DE" w:eastAsia="en-US"/>
        </w:rPr>
        <w:t>nungen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Schlanders</w:t>
      </w:r>
      <w:proofErr w:type="spellEnd"/>
      <w:r>
        <w:rPr>
          <w:rFonts w:ascii="Arial" w:hAnsi="Arial" w:cs="Arial"/>
          <w:sz w:val="22"/>
          <w:szCs w:val="22"/>
          <w:lang w:val="de-DE" w:eastAsia="en-US"/>
        </w:rPr>
        <w:t>, 14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sidRPr="004D38A0">
        <w:rPr>
          <w:rFonts w:ascii="Arial" w:hAnsi="Arial" w:cs="Arial"/>
          <w:sz w:val="22"/>
          <w:szCs w:val="22"/>
          <w:lang w:val="de-DE" w:eastAsia="en-US"/>
        </w:rPr>
        <w:t>Stilfs</w:t>
      </w:r>
      <w:proofErr w:type="spellEnd"/>
      <w:r w:rsidRPr="004D38A0">
        <w:rPr>
          <w:rFonts w:ascii="Arial" w:hAnsi="Arial" w:cs="Arial"/>
          <w:sz w:val="22"/>
          <w:szCs w:val="22"/>
          <w:lang w:val="de-DE" w:eastAsia="en-US"/>
        </w:rPr>
        <w:t>, 4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sidRPr="004D38A0">
        <w:rPr>
          <w:rFonts w:ascii="Arial" w:hAnsi="Arial" w:cs="Arial"/>
          <w:sz w:val="22"/>
          <w:szCs w:val="22"/>
          <w:lang w:val="de-DE" w:eastAsia="en-US"/>
        </w:rPr>
        <w:t>Toblach</w:t>
      </w:r>
      <w:proofErr w:type="spellEnd"/>
      <w:r w:rsidRPr="004D38A0">
        <w:rPr>
          <w:rFonts w:ascii="Arial" w:hAnsi="Arial" w:cs="Arial"/>
          <w:sz w:val="22"/>
          <w:szCs w:val="22"/>
          <w:lang w:val="de-DE" w:eastAsia="en-US"/>
        </w:rPr>
        <w:t>, 8 Wohnungen – Grundankauf vom Verwaltungsrat beschlosse</w:t>
      </w:r>
      <w:r w:rsidR="002D3642">
        <w:rPr>
          <w:rFonts w:ascii="Arial" w:hAnsi="Arial" w:cs="Arial"/>
          <w:sz w:val="22"/>
          <w:szCs w:val="22"/>
          <w:lang w:val="de-DE" w:eastAsia="en-US"/>
        </w:rPr>
        <w:t>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Villnöss</w:t>
      </w:r>
      <w:proofErr w:type="spellEnd"/>
      <w:r>
        <w:rPr>
          <w:rFonts w:ascii="Arial" w:hAnsi="Arial" w:cs="Arial"/>
          <w:sz w:val="22"/>
          <w:szCs w:val="22"/>
          <w:lang w:val="de-DE" w:eastAsia="en-US"/>
        </w:rPr>
        <w:t>, 5 Wohnungen</w:t>
      </w:r>
    </w:p>
    <w:p w:rsidR="00E34492" w:rsidRPr="004D38A0" w:rsidRDefault="002D364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proofErr w:type="spellStart"/>
      <w:r>
        <w:rPr>
          <w:rFonts w:ascii="Arial" w:hAnsi="Arial" w:cs="Arial"/>
          <w:sz w:val="22"/>
          <w:szCs w:val="22"/>
          <w:lang w:val="de-DE" w:eastAsia="en-US"/>
        </w:rPr>
        <w:t>Welsberg</w:t>
      </w:r>
      <w:proofErr w:type="spellEnd"/>
      <w:r>
        <w:rPr>
          <w:rFonts w:ascii="Arial" w:hAnsi="Arial" w:cs="Arial"/>
          <w:sz w:val="22"/>
          <w:szCs w:val="22"/>
          <w:lang w:val="de-DE" w:eastAsia="en-US"/>
        </w:rPr>
        <w:t>, 12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val="de-DE" w:eastAsia="en-US"/>
        </w:rPr>
      </w:pPr>
      <w:r w:rsidRPr="004D38A0">
        <w:rPr>
          <w:rFonts w:ascii="Arial" w:hAnsi="Arial" w:cs="Arial"/>
          <w:sz w:val="22"/>
          <w:szCs w:val="22"/>
          <w:lang w:val="de-DE" w:eastAsia="en-US"/>
        </w:rPr>
        <w:t>Wol</w:t>
      </w:r>
      <w:r w:rsidR="002D3642">
        <w:rPr>
          <w:rFonts w:ascii="Arial" w:hAnsi="Arial" w:cs="Arial"/>
          <w:sz w:val="22"/>
          <w:szCs w:val="22"/>
          <w:lang w:val="de-DE" w:eastAsia="en-US"/>
        </w:rPr>
        <w:t xml:space="preserve">kenstein in </w:t>
      </w:r>
      <w:proofErr w:type="spellStart"/>
      <w:r w:rsidR="002D3642">
        <w:rPr>
          <w:rFonts w:ascii="Arial" w:hAnsi="Arial" w:cs="Arial"/>
          <w:sz w:val="22"/>
          <w:szCs w:val="22"/>
          <w:lang w:val="de-DE" w:eastAsia="en-US"/>
        </w:rPr>
        <w:t>Gröden</w:t>
      </w:r>
      <w:proofErr w:type="spellEnd"/>
      <w:r w:rsidR="002D3642">
        <w:rPr>
          <w:rFonts w:ascii="Arial" w:hAnsi="Arial" w:cs="Arial"/>
          <w:sz w:val="22"/>
          <w:szCs w:val="22"/>
          <w:lang w:val="de-DE" w:eastAsia="en-US"/>
        </w:rPr>
        <w:t>, 4 Wohnungen</w:t>
      </w:r>
    </w:p>
    <w:p w:rsidR="00E34492" w:rsidRPr="004D38A0" w:rsidRDefault="00E34492" w:rsidP="00E34492">
      <w:pPr>
        <w:numPr>
          <w:ilvl w:val="0"/>
          <w:numId w:val="25"/>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 xml:space="preserve">Sterzing, 15 </w:t>
      </w:r>
      <w:proofErr w:type="spellStart"/>
      <w:r w:rsidR="002D3642">
        <w:rPr>
          <w:rFonts w:ascii="Arial" w:hAnsi="Arial" w:cs="Arial"/>
          <w:sz w:val="22"/>
          <w:szCs w:val="22"/>
          <w:lang w:eastAsia="en-US"/>
        </w:rPr>
        <w:t>Wohnungen</w:t>
      </w:r>
      <w:proofErr w:type="spellEnd"/>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604CD3" w:rsidP="00E34492">
      <w:pPr>
        <w:autoSpaceDE w:val="0"/>
        <w:autoSpaceDN w:val="0"/>
        <w:adjustRightInd w:val="0"/>
        <w:spacing w:line="360" w:lineRule="auto"/>
        <w:jc w:val="both"/>
        <w:rPr>
          <w:rFonts w:ascii="Arial" w:hAnsi="Arial" w:cs="Arial"/>
          <w:sz w:val="22"/>
          <w:szCs w:val="22"/>
          <w:lang w:val="de-DE" w:eastAsia="en-US"/>
        </w:rPr>
      </w:pPr>
      <w:r>
        <w:rPr>
          <w:rFonts w:ascii="Arial" w:hAnsi="Arial" w:cs="Arial"/>
          <w:sz w:val="22"/>
          <w:szCs w:val="22"/>
          <w:lang w:val="de-DE" w:eastAsia="en-US"/>
        </w:rPr>
        <w:t>Im Laufe des Jahres 2015 müsste das Institut in folgenden Gemeinden Grundstücke ankaufen, jedoch wurde noch keine Finanzierung genehmigt:</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proofErr w:type="spellStart"/>
      <w:r w:rsidRPr="004D38A0">
        <w:rPr>
          <w:rFonts w:ascii="Arial" w:hAnsi="Arial" w:cs="Arial"/>
          <w:sz w:val="22"/>
          <w:szCs w:val="22"/>
          <w:lang w:eastAsia="en-US"/>
        </w:rPr>
        <w:lastRenderedPageBreak/>
        <w:t>Völs</w:t>
      </w:r>
      <w:proofErr w:type="spellEnd"/>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Brixen (</w:t>
      </w:r>
      <w:proofErr w:type="spellStart"/>
      <w:r w:rsidRPr="004D38A0">
        <w:rPr>
          <w:rFonts w:ascii="Arial" w:hAnsi="Arial" w:cs="Arial"/>
          <w:sz w:val="22"/>
          <w:szCs w:val="22"/>
          <w:lang w:eastAsia="en-US"/>
        </w:rPr>
        <w:t>Reifer</w:t>
      </w:r>
      <w:proofErr w:type="spellEnd"/>
      <w:r w:rsidRPr="004D38A0">
        <w:rPr>
          <w:rFonts w:ascii="Arial" w:hAnsi="Arial" w:cs="Arial"/>
          <w:sz w:val="22"/>
          <w:szCs w:val="22"/>
          <w:lang w:eastAsia="en-US"/>
        </w:rPr>
        <w:t>)</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Brixen (</w:t>
      </w:r>
      <w:proofErr w:type="spellStart"/>
      <w:r w:rsidRPr="004D38A0">
        <w:rPr>
          <w:rFonts w:ascii="Arial" w:hAnsi="Arial" w:cs="Arial"/>
          <w:sz w:val="22"/>
          <w:szCs w:val="22"/>
          <w:lang w:eastAsia="en-US"/>
        </w:rPr>
        <w:t>Landwirt</w:t>
      </w:r>
      <w:proofErr w:type="spellEnd"/>
      <w:r w:rsidRPr="004D38A0">
        <w:rPr>
          <w:rFonts w:ascii="Arial" w:hAnsi="Arial" w:cs="Arial"/>
          <w:sz w:val="22"/>
          <w:szCs w:val="22"/>
          <w:lang w:eastAsia="en-US"/>
        </w:rPr>
        <w:t>)</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Martell</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Latsch</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Auer</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St.</w:t>
      </w:r>
      <w:r w:rsidR="000B4684">
        <w:rPr>
          <w:rFonts w:ascii="Arial" w:hAnsi="Arial" w:cs="Arial"/>
          <w:sz w:val="22"/>
          <w:szCs w:val="22"/>
          <w:lang w:eastAsia="en-US"/>
        </w:rPr>
        <w:t xml:space="preserve"> </w:t>
      </w:r>
      <w:r w:rsidRPr="004D38A0">
        <w:rPr>
          <w:rFonts w:ascii="Arial" w:hAnsi="Arial" w:cs="Arial"/>
          <w:sz w:val="22"/>
          <w:szCs w:val="22"/>
          <w:lang w:eastAsia="en-US"/>
        </w:rPr>
        <w:t xml:space="preserve">Martin in </w:t>
      </w:r>
      <w:proofErr w:type="spellStart"/>
      <w:r w:rsidRPr="004D38A0">
        <w:rPr>
          <w:rFonts w:ascii="Arial" w:hAnsi="Arial" w:cs="Arial"/>
          <w:sz w:val="22"/>
          <w:szCs w:val="22"/>
          <w:lang w:eastAsia="en-US"/>
        </w:rPr>
        <w:t>Passeier</w:t>
      </w:r>
      <w:proofErr w:type="spellEnd"/>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Leifers</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Bruneck</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St. Ulrich</w:t>
      </w:r>
    </w:p>
    <w:p w:rsidR="00E34492" w:rsidRPr="004D38A0" w:rsidRDefault="00E34492" w:rsidP="00E34492">
      <w:pPr>
        <w:numPr>
          <w:ilvl w:val="0"/>
          <w:numId w:val="28"/>
        </w:numPr>
        <w:autoSpaceDE w:val="0"/>
        <w:autoSpaceDN w:val="0"/>
        <w:adjustRightInd w:val="0"/>
        <w:spacing w:line="360" w:lineRule="auto"/>
        <w:contextualSpacing/>
        <w:jc w:val="both"/>
        <w:rPr>
          <w:rFonts w:ascii="Arial" w:hAnsi="Arial" w:cs="Arial"/>
          <w:sz w:val="22"/>
          <w:szCs w:val="22"/>
          <w:lang w:eastAsia="en-US"/>
        </w:rPr>
      </w:pPr>
      <w:r w:rsidRPr="004D38A0">
        <w:rPr>
          <w:rFonts w:ascii="Arial" w:hAnsi="Arial" w:cs="Arial"/>
          <w:sz w:val="22"/>
          <w:szCs w:val="22"/>
          <w:lang w:eastAsia="en-US"/>
        </w:rPr>
        <w:t>Terlan</w:t>
      </w:r>
    </w:p>
    <w:p w:rsidR="00E34492" w:rsidRPr="004D38A0" w:rsidRDefault="00E34492" w:rsidP="00E34492">
      <w:pPr>
        <w:autoSpaceDE w:val="0"/>
        <w:autoSpaceDN w:val="0"/>
        <w:adjustRightInd w:val="0"/>
        <w:ind w:left="357"/>
        <w:jc w:val="both"/>
        <w:rPr>
          <w:rFonts w:ascii="Arial" w:hAnsi="Arial" w:cs="Arial"/>
          <w:sz w:val="22"/>
          <w:szCs w:val="22"/>
          <w:lang w:val="de-DE" w:eastAsia="en-US"/>
        </w:rPr>
      </w:pP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Nachfolgend wird </w:t>
      </w:r>
      <w:r w:rsidR="00E95316">
        <w:rPr>
          <w:rFonts w:ascii="Arial" w:hAnsi="Arial" w:cs="Arial"/>
          <w:sz w:val="22"/>
          <w:szCs w:val="22"/>
          <w:lang w:val="de-DE" w:eastAsia="en-US"/>
        </w:rPr>
        <w:t>die</w:t>
      </w:r>
      <w:r w:rsidRPr="004D38A0">
        <w:rPr>
          <w:rFonts w:ascii="Arial" w:hAnsi="Arial" w:cs="Arial"/>
          <w:sz w:val="22"/>
          <w:szCs w:val="22"/>
          <w:lang w:val="de-DE" w:eastAsia="en-US"/>
        </w:rPr>
        <w:t xml:space="preserve"> Situation der Gemeinden mit großer Wohnungsnot dargelegt:</w:t>
      </w:r>
    </w:p>
    <w:p w:rsidR="00E34492" w:rsidRPr="004D38A0" w:rsidRDefault="00E34492" w:rsidP="00E34492">
      <w:pPr>
        <w:spacing w:line="360" w:lineRule="auto"/>
        <w:jc w:val="both"/>
        <w:rPr>
          <w:rFonts w:ascii="Arial" w:hAnsi="Arial" w:cs="Arial"/>
          <w:bCs/>
          <w:i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r w:rsidRPr="004D38A0">
        <w:rPr>
          <w:rFonts w:ascii="Arial" w:hAnsi="Arial" w:cs="Arial"/>
          <w:bCs/>
          <w:sz w:val="22"/>
          <w:szCs w:val="22"/>
          <w:u w:val="single"/>
          <w:lang w:val="de-DE" w:eastAsia="en-US"/>
        </w:rPr>
        <w:t>Bozen</w:t>
      </w:r>
    </w:p>
    <w:p w:rsidR="00DE2BED" w:rsidRDefault="00DE2BED" w:rsidP="00E34492">
      <w:pPr>
        <w:autoSpaceDE w:val="0"/>
        <w:autoSpaceDN w:val="0"/>
        <w:adjustRightInd w:val="0"/>
        <w:spacing w:line="360" w:lineRule="auto"/>
        <w:jc w:val="both"/>
        <w:rPr>
          <w:rFonts w:ascii="Arial" w:hAnsi="Arial" w:cs="Arial"/>
          <w:sz w:val="22"/>
          <w:szCs w:val="22"/>
          <w:lang w:val="de-DE" w:eastAsia="en-US"/>
        </w:rPr>
      </w:pPr>
      <w:r>
        <w:rPr>
          <w:rFonts w:ascii="Arial" w:hAnsi="Arial" w:cs="Arial"/>
          <w:sz w:val="22"/>
          <w:szCs w:val="22"/>
          <w:lang w:val="de-DE" w:eastAsia="en-US"/>
        </w:rPr>
        <w:t>Da die Finanzierungssituation zur Zeit nicht sehr klar ist, wird im Laufe des Jahres 2015 wahrscheinlich keine neue Baustelle eröffnet.</w:t>
      </w:r>
    </w:p>
    <w:p w:rsidR="00E34492" w:rsidRPr="004D38A0" w:rsidRDefault="00783B07" w:rsidP="00E34492">
      <w:pPr>
        <w:autoSpaceDE w:val="0"/>
        <w:autoSpaceDN w:val="0"/>
        <w:adjustRightInd w:val="0"/>
        <w:spacing w:line="360" w:lineRule="auto"/>
        <w:jc w:val="both"/>
        <w:rPr>
          <w:rFonts w:ascii="Arial" w:hAnsi="Arial" w:cs="Arial"/>
          <w:sz w:val="22"/>
          <w:szCs w:val="22"/>
          <w:lang w:val="de-DE" w:eastAsia="en-US"/>
        </w:rPr>
      </w:pPr>
      <w:r>
        <w:rPr>
          <w:rFonts w:ascii="Arial" w:hAnsi="Arial" w:cs="Arial"/>
          <w:sz w:val="22"/>
          <w:szCs w:val="22"/>
          <w:lang w:val="de-DE" w:eastAsia="en-US"/>
        </w:rPr>
        <w:t>Die</w:t>
      </w:r>
      <w:r w:rsidR="00E34492" w:rsidRPr="004D38A0">
        <w:rPr>
          <w:rFonts w:ascii="Arial" w:hAnsi="Arial" w:cs="Arial"/>
          <w:sz w:val="22"/>
          <w:szCs w:val="22"/>
          <w:lang w:val="de-DE" w:eastAsia="en-US"/>
        </w:rPr>
        <w:t xml:space="preserve"> Realisierung von 55 Wohnungen durch den Abbruch des ehemaligen „Lehrlingsheimes“ im </w:t>
      </w:r>
      <w:proofErr w:type="spellStart"/>
      <w:r w:rsidR="00E34492" w:rsidRPr="004D38A0">
        <w:rPr>
          <w:rFonts w:ascii="Arial" w:hAnsi="Arial" w:cs="Arial"/>
          <w:sz w:val="22"/>
          <w:szCs w:val="22"/>
          <w:lang w:val="de-DE" w:eastAsia="en-US"/>
        </w:rPr>
        <w:t>Kuepachweg</w:t>
      </w:r>
      <w:proofErr w:type="spellEnd"/>
      <w:r>
        <w:rPr>
          <w:rFonts w:ascii="Arial" w:hAnsi="Arial" w:cs="Arial"/>
          <w:sz w:val="22"/>
          <w:szCs w:val="22"/>
          <w:lang w:val="de-DE" w:eastAsia="en-US"/>
        </w:rPr>
        <w:t xml:space="preserve"> wird im Laufe des Jahres 2015 nicht erfolgen</w:t>
      </w:r>
      <w:r w:rsidR="00E34492" w:rsidRPr="004D38A0">
        <w:rPr>
          <w:rFonts w:ascii="Arial" w:hAnsi="Arial" w:cs="Arial"/>
          <w:sz w:val="22"/>
          <w:szCs w:val="22"/>
          <w:lang w:val="de-DE" w:eastAsia="en-US"/>
        </w:rPr>
        <w:t xml:space="preserve">; derzeit wird die </w:t>
      </w:r>
      <w:proofErr w:type="spellStart"/>
      <w:r w:rsidR="00E34492" w:rsidRPr="004D38A0">
        <w:rPr>
          <w:rFonts w:ascii="Arial" w:hAnsi="Arial" w:cs="Arial"/>
          <w:sz w:val="22"/>
          <w:szCs w:val="22"/>
          <w:lang w:val="de-DE" w:eastAsia="en-US"/>
        </w:rPr>
        <w:t>urbanistische</w:t>
      </w:r>
      <w:proofErr w:type="spellEnd"/>
      <w:r w:rsidR="00E34492" w:rsidRPr="004D38A0">
        <w:rPr>
          <w:rFonts w:ascii="Arial" w:hAnsi="Arial" w:cs="Arial"/>
          <w:sz w:val="22"/>
          <w:szCs w:val="22"/>
          <w:lang w:val="de-DE" w:eastAsia="en-US"/>
        </w:rPr>
        <w:t xml:space="preserve"> Variante von Seiten der Gemeinde vorgenommen sowie die Vorbereitung des Durchführungsplanes von Seiten des </w:t>
      </w:r>
      <w:proofErr w:type="spellStart"/>
      <w:r w:rsidR="00E34492" w:rsidRPr="004D38A0">
        <w:rPr>
          <w:rFonts w:ascii="Arial" w:hAnsi="Arial" w:cs="Arial"/>
          <w:sz w:val="22"/>
          <w:szCs w:val="22"/>
          <w:lang w:val="de-DE" w:eastAsia="en-US"/>
        </w:rPr>
        <w:t>Wobi</w:t>
      </w:r>
      <w:proofErr w:type="spellEnd"/>
      <w:r w:rsidR="00E34492" w:rsidRPr="004D38A0">
        <w:rPr>
          <w:rFonts w:ascii="Arial" w:hAnsi="Arial" w:cs="Arial"/>
          <w:sz w:val="22"/>
          <w:szCs w:val="22"/>
          <w:lang w:val="de-DE" w:eastAsia="en-US"/>
        </w:rPr>
        <w:t xml:space="preserve">. Die anfänglich für das Jahr 2015 vorgesehene Finanzierung </w:t>
      </w:r>
      <w:r>
        <w:rPr>
          <w:rFonts w:ascii="Arial" w:hAnsi="Arial" w:cs="Arial"/>
          <w:sz w:val="22"/>
          <w:szCs w:val="22"/>
          <w:lang w:val="de-DE" w:eastAsia="en-US"/>
        </w:rPr>
        <w:t>wird für die</w:t>
      </w:r>
      <w:r w:rsidR="00E34492" w:rsidRPr="004D38A0">
        <w:rPr>
          <w:rFonts w:ascii="Arial" w:hAnsi="Arial" w:cs="Arial"/>
          <w:sz w:val="22"/>
          <w:szCs w:val="22"/>
          <w:lang w:val="de-DE" w:eastAsia="en-US"/>
        </w:rPr>
        <w:t xml:space="preserve"> außerordentlichen Instandhaltung </w:t>
      </w:r>
      <w:r>
        <w:rPr>
          <w:rFonts w:ascii="Arial" w:hAnsi="Arial" w:cs="Arial"/>
          <w:sz w:val="22"/>
          <w:szCs w:val="22"/>
          <w:lang w:val="de-DE" w:eastAsia="en-US"/>
        </w:rPr>
        <w:t>verwendet</w:t>
      </w:r>
      <w:r w:rsidR="00E34492" w:rsidRPr="004D38A0">
        <w:rPr>
          <w:rFonts w:ascii="Arial" w:hAnsi="Arial" w:cs="Arial"/>
          <w:sz w:val="22"/>
          <w:szCs w:val="22"/>
          <w:lang w:val="de-DE" w:eastAsia="en-US"/>
        </w:rPr>
        <w:t xml:space="preserve"> und deshalb muss man für die Einleitung der Ausschreibungsverfahren das Jahr 2016 abwarten (unter der Voraussetzung, dass die Finanzierung garantiert wird).</w:t>
      </w:r>
    </w:p>
    <w:p w:rsidR="00E34492" w:rsidRPr="004D38A0" w:rsidRDefault="00897425" w:rsidP="00E34492">
      <w:pPr>
        <w:spacing w:line="360" w:lineRule="auto"/>
        <w:jc w:val="both"/>
        <w:rPr>
          <w:rFonts w:ascii="Arial" w:hAnsi="Arial" w:cs="Arial"/>
          <w:sz w:val="22"/>
          <w:szCs w:val="22"/>
          <w:lang w:val="de-DE" w:eastAsia="en-US"/>
        </w:rPr>
      </w:pPr>
      <w:r>
        <w:rPr>
          <w:rFonts w:ascii="Arial" w:hAnsi="Arial" w:cs="Arial"/>
          <w:sz w:val="22"/>
          <w:szCs w:val="22"/>
          <w:lang w:val="de-DE" w:eastAsia="en-US"/>
        </w:rPr>
        <w:t>Ein</w:t>
      </w:r>
      <w:r w:rsidR="00E34492" w:rsidRPr="004D38A0">
        <w:rPr>
          <w:rFonts w:ascii="Arial" w:hAnsi="Arial" w:cs="Arial"/>
          <w:sz w:val="22"/>
          <w:szCs w:val="22"/>
          <w:lang w:val="de-DE" w:eastAsia="en-US"/>
        </w:rPr>
        <w:t xml:space="preserve"> Grund</w:t>
      </w:r>
      <w:r>
        <w:rPr>
          <w:rFonts w:ascii="Arial" w:hAnsi="Arial" w:cs="Arial"/>
          <w:sz w:val="22"/>
          <w:szCs w:val="22"/>
          <w:lang w:val="de-DE" w:eastAsia="en-US"/>
        </w:rPr>
        <w:t>stück</w:t>
      </w:r>
      <w:r w:rsidR="00E34492" w:rsidRPr="004D38A0">
        <w:rPr>
          <w:rFonts w:ascii="Arial" w:hAnsi="Arial" w:cs="Arial"/>
          <w:sz w:val="22"/>
          <w:szCs w:val="22"/>
          <w:lang w:val="de-DE" w:eastAsia="en-US"/>
        </w:rPr>
        <w:t xml:space="preserve"> in der Pfarrhofstraße ist immer noch nicht </w:t>
      </w:r>
      <w:r>
        <w:rPr>
          <w:rFonts w:ascii="Arial" w:hAnsi="Arial" w:cs="Arial"/>
          <w:sz w:val="22"/>
          <w:szCs w:val="22"/>
          <w:lang w:val="de-DE" w:eastAsia="en-US"/>
        </w:rPr>
        <w:t>verfügbar</w:t>
      </w:r>
      <w:r w:rsidR="00E34492" w:rsidRPr="004D38A0">
        <w:rPr>
          <w:rFonts w:ascii="Arial" w:hAnsi="Arial" w:cs="Arial"/>
          <w:sz w:val="22"/>
          <w:szCs w:val="22"/>
          <w:lang w:val="de-DE" w:eastAsia="en-US"/>
        </w:rPr>
        <w:t xml:space="preserve"> und wird es auch </w:t>
      </w:r>
      <w:r>
        <w:rPr>
          <w:rFonts w:ascii="Arial" w:hAnsi="Arial" w:cs="Arial"/>
          <w:sz w:val="22"/>
          <w:szCs w:val="22"/>
          <w:lang w:val="de-DE" w:eastAsia="en-US"/>
        </w:rPr>
        <w:t xml:space="preserve">für </w:t>
      </w:r>
      <w:r w:rsidR="00E34492" w:rsidRPr="004D38A0">
        <w:rPr>
          <w:rFonts w:ascii="Arial" w:hAnsi="Arial" w:cs="Arial"/>
          <w:sz w:val="22"/>
          <w:szCs w:val="22"/>
          <w:lang w:val="de-DE" w:eastAsia="en-US"/>
        </w:rPr>
        <w:t>2015 voraussichtlich nicht sein.</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Das Areal in der </w:t>
      </w:r>
      <w:proofErr w:type="spellStart"/>
      <w:r w:rsidRPr="004D38A0">
        <w:rPr>
          <w:rFonts w:ascii="Arial" w:hAnsi="Arial" w:cs="Arial"/>
          <w:sz w:val="22"/>
          <w:szCs w:val="22"/>
          <w:lang w:val="de-DE" w:eastAsia="en-US"/>
        </w:rPr>
        <w:t>Drususallee</w:t>
      </w:r>
      <w:proofErr w:type="spellEnd"/>
      <w:r w:rsidRPr="004D38A0">
        <w:rPr>
          <w:rFonts w:ascii="Arial" w:hAnsi="Arial" w:cs="Arial"/>
          <w:sz w:val="22"/>
          <w:szCs w:val="22"/>
          <w:lang w:val="de-DE" w:eastAsia="en-US"/>
        </w:rPr>
        <w:t xml:space="preserve"> neben der Pizzeria Metro könnte angekauft werden, aber die Projektierung wird erst begonnen, sobald die Finanzierung garantiert ist.</w:t>
      </w:r>
    </w:p>
    <w:p w:rsidR="00E34492" w:rsidRDefault="00E34492" w:rsidP="00E34492">
      <w:pPr>
        <w:autoSpaceDE w:val="0"/>
        <w:autoSpaceDN w:val="0"/>
        <w:adjustRightInd w:val="0"/>
        <w:jc w:val="both"/>
        <w:rPr>
          <w:rFonts w:ascii="Arial" w:hAnsi="Arial" w:cs="Arial"/>
          <w:sz w:val="22"/>
          <w:szCs w:val="22"/>
          <w:lang w:val="de-DE" w:eastAsia="en-US"/>
        </w:rPr>
      </w:pPr>
    </w:p>
    <w:p w:rsidR="00897425" w:rsidRDefault="00897425" w:rsidP="00E34492">
      <w:pPr>
        <w:autoSpaceDE w:val="0"/>
        <w:autoSpaceDN w:val="0"/>
        <w:adjustRightInd w:val="0"/>
        <w:jc w:val="both"/>
        <w:rPr>
          <w:rFonts w:ascii="Arial" w:hAnsi="Arial" w:cs="Arial"/>
          <w:sz w:val="22"/>
          <w:szCs w:val="22"/>
          <w:lang w:val="de-DE" w:eastAsia="en-US"/>
        </w:rPr>
      </w:pPr>
    </w:p>
    <w:p w:rsidR="00897425" w:rsidRDefault="00897425" w:rsidP="00E34492">
      <w:pPr>
        <w:autoSpaceDE w:val="0"/>
        <w:autoSpaceDN w:val="0"/>
        <w:adjustRightInd w:val="0"/>
        <w:jc w:val="both"/>
        <w:rPr>
          <w:rFonts w:ascii="Arial" w:hAnsi="Arial" w:cs="Arial"/>
          <w:sz w:val="22"/>
          <w:szCs w:val="22"/>
          <w:lang w:val="de-DE" w:eastAsia="en-US"/>
        </w:rPr>
      </w:pPr>
    </w:p>
    <w:p w:rsidR="00897425" w:rsidRPr="004D38A0" w:rsidRDefault="00897425" w:rsidP="00E34492">
      <w:pPr>
        <w:autoSpaceDE w:val="0"/>
        <w:autoSpaceDN w:val="0"/>
        <w:adjustRightInd w:val="0"/>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r w:rsidRPr="004D38A0">
        <w:rPr>
          <w:rFonts w:ascii="Arial" w:hAnsi="Arial" w:cs="Arial"/>
          <w:bCs/>
          <w:sz w:val="22"/>
          <w:szCs w:val="22"/>
          <w:u w:val="single"/>
          <w:lang w:val="de-DE" w:eastAsia="en-US"/>
        </w:rPr>
        <w:t>Meran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Von den insgesamt 177 Wohnungen des Bauprogramms befinden sich 25 Wohnungen in der Ausschreibungsphase in der Zone „Oberrauch“; der entsprechende Baubeginn ist im Laufe des Frühjahres 2015 geplant.</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Es ist </w:t>
      </w:r>
      <w:proofErr w:type="spellStart"/>
      <w:r w:rsidRPr="004D38A0">
        <w:rPr>
          <w:rFonts w:ascii="Arial" w:hAnsi="Arial" w:cs="Arial"/>
          <w:sz w:val="22"/>
          <w:szCs w:val="22"/>
          <w:lang w:val="de-DE" w:eastAsia="en-US"/>
        </w:rPr>
        <w:t>weiters</w:t>
      </w:r>
      <w:proofErr w:type="spellEnd"/>
      <w:r w:rsidRPr="004D38A0">
        <w:rPr>
          <w:rFonts w:ascii="Arial" w:hAnsi="Arial" w:cs="Arial"/>
          <w:sz w:val="22"/>
          <w:szCs w:val="22"/>
          <w:lang w:val="de-DE" w:eastAsia="en-US"/>
        </w:rPr>
        <w:t xml:space="preserve"> die Projektierung der Sanierung des Gebäudes in der </w:t>
      </w:r>
      <w:proofErr w:type="spellStart"/>
      <w:r w:rsidRPr="004D38A0">
        <w:rPr>
          <w:rFonts w:ascii="Arial" w:hAnsi="Arial" w:cs="Arial"/>
          <w:sz w:val="22"/>
          <w:szCs w:val="22"/>
          <w:lang w:val="de-DE" w:eastAsia="en-US"/>
        </w:rPr>
        <w:t>Carduccistraße</w:t>
      </w:r>
      <w:proofErr w:type="spellEnd"/>
      <w:r w:rsidRPr="004D38A0">
        <w:rPr>
          <w:rFonts w:ascii="Arial" w:hAnsi="Arial" w:cs="Arial"/>
          <w:sz w:val="22"/>
          <w:szCs w:val="22"/>
          <w:lang w:val="de-DE" w:eastAsia="en-US"/>
        </w:rPr>
        <w:t xml:space="preserve"> zur Verwirklichung von 9 Wohnungen im Gange.</w:t>
      </w:r>
    </w:p>
    <w:p w:rsidR="00E34492" w:rsidRPr="004D38A0" w:rsidRDefault="00E34492" w:rsidP="00E34492">
      <w:pPr>
        <w:autoSpaceDE w:val="0"/>
        <w:autoSpaceDN w:val="0"/>
        <w:adjustRightInd w:val="0"/>
        <w:jc w:val="both"/>
        <w:rPr>
          <w:rFonts w:ascii="Arial" w:hAnsi="Arial" w:cs="Arial"/>
          <w:b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proofErr w:type="spellStart"/>
      <w:r w:rsidRPr="004D38A0">
        <w:rPr>
          <w:rFonts w:ascii="Arial" w:hAnsi="Arial" w:cs="Arial"/>
          <w:bCs/>
          <w:sz w:val="22"/>
          <w:szCs w:val="22"/>
          <w:u w:val="single"/>
          <w:lang w:val="de-DE" w:eastAsia="en-US"/>
        </w:rPr>
        <w:lastRenderedPageBreak/>
        <w:t>Leifers</w:t>
      </w:r>
      <w:proofErr w:type="spellEnd"/>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Verwirklichung des Wohnbauprogramms für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xml:space="preserve"> hat weitere wichtige Fortschritte verzeichnen können; von den 39 im Programm vorgesehenen Wohnungen sind derzeit 36 in den ersten beiden </w:t>
      </w:r>
      <w:proofErr w:type="spellStart"/>
      <w:r w:rsidRPr="004D38A0">
        <w:rPr>
          <w:rFonts w:ascii="Arial" w:hAnsi="Arial" w:cs="Arial"/>
          <w:sz w:val="22"/>
          <w:szCs w:val="22"/>
          <w:lang w:val="de-DE" w:eastAsia="en-US"/>
        </w:rPr>
        <w:t>Baulosen</w:t>
      </w:r>
      <w:proofErr w:type="spellEnd"/>
      <w:r w:rsidRPr="004D38A0">
        <w:rPr>
          <w:rFonts w:ascii="Arial" w:hAnsi="Arial" w:cs="Arial"/>
          <w:sz w:val="22"/>
          <w:szCs w:val="22"/>
          <w:lang w:val="de-DE" w:eastAsia="en-US"/>
        </w:rPr>
        <w:t xml:space="preserve"> der neuen Erweiterungszone „</w:t>
      </w:r>
      <w:proofErr w:type="spellStart"/>
      <w:r w:rsidRPr="004D38A0">
        <w:rPr>
          <w:rFonts w:ascii="Arial" w:hAnsi="Arial" w:cs="Arial"/>
          <w:sz w:val="22"/>
          <w:szCs w:val="22"/>
          <w:lang w:val="de-DE" w:eastAsia="en-US"/>
        </w:rPr>
        <w:t>Toggenburg</w:t>
      </w:r>
      <w:proofErr w:type="spellEnd"/>
      <w:r w:rsidRPr="004D38A0">
        <w:rPr>
          <w:rFonts w:ascii="Arial" w:hAnsi="Arial" w:cs="Arial"/>
          <w:sz w:val="22"/>
          <w:szCs w:val="22"/>
          <w:lang w:val="de-DE" w:eastAsia="en-US"/>
        </w:rPr>
        <w:t xml:space="preserve"> 1“ in Steinmannwald im Bau u. z. das </w:t>
      </w:r>
      <w:proofErr w:type="spellStart"/>
      <w:r w:rsidRPr="004D38A0">
        <w:rPr>
          <w:rFonts w:ascii="Arial" w:hAnsi="Arial" w:cs="Arial"/>
          <w:sz w:val="22"/>
          <w:szCs w:val="22"/>
          <w:lang w:val="de-DE" w:eastAsia="en-US"/>
        </w:rPr>
        <w:t>Baulos</w:t>
      </w:r>
      <w:proofErr w:type="spellEnd"/>
      <w:r w:rsidRPr="004D38A0">
        <w:rPr>
          <w:rFonts w:ascii="Arial" w:hAnsi="Arial" w:cs="Arial"/>
          <w:sz w:val="22"/>
          <w:szCs w:val="22"/>
          <w:lang w:val="de-DE" w:eastAsia="en-US"/>
        </w:rPr>
        <w:t xml:space="preserve"> EA3a mit 14 Wohnungen und das </w:t>
      </w:r>
      <w:proofErr w:type="spellStart"/>
      <w:r w:rsidRPr="004D38A0">
        <w:rPr>
          <w:rFonts w:ascii="Arial" w:hAnsi="Arial" w:cs="Arial"/>
          <w:sz w:val="22"/>
          <w:szCs w:val="22"/>
          <w:lang w:val="de-DE" w:eastAsia="en-US"/>
        </w:rPr>
        <w:t>Baulos</w:t>
      </w:r>
      <w:proofErr w:type="spellEnd"/>
      <w:r w:rsidRPr="004D38A0">
        <w:rPr>
          <w:rFonts w:ascii="Arial" w:hAnsi="Arial" w:cs="Arial"/>
          <w:sz w:val="22"/>
          <w:szCs w:val="22"/>
          <w:lang w:val="de-DE" w:eastAsia="en-US"/>
        </w:rPr>
        <w:t xml:space="preserve"> EA4 mit 22 Wohnungen. Nach der </w:t>
      </w:r>
      <w:r w:rsidR="009A3D43">
        <w:rPr>
          <w:rFonts w:ascii="Arial" w:hAnsi="Arial" w:cs="Arial"/>
          <w:sz w:val="22"/>
          <w:szCs w:val="22"/>
          <w:lang w:val="de-DE" w:eastAsia="en-US"/>
        </w:rPr>
        <w:t>Unterbrechung</w:t>
      </w:r>
      <w:r w:rsidRPr="004D38A0">
        <w:rPr>
          <w:rFonts w:ascii="Arial" w:hAnsi="Arial" w:cs="Arial"/>
          <w:sz w:val="22"/>
          <w:szCs w:val="22"/>
          <w:lang w:val="de-DE" w:eastAsia="en-US"/>
        </w:rPr>
        <w:t xml:space="preserve"> der Arbeiten auf Grund des Unternehmenswechsels, der durch das gerichtliche Ausgleichsverfahren des ursprünglichen Auftragnehmers bedingt war, sind die arbeiten wieder aufgenommen worden und die Übergabe der Wohnungen an die Mieter ist in den ersten Monaten von 2015 vorgesehen.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Das dritte </w:t>
      </w:r>
      <w:proofErr w:type="spellStart"/>
      <w:r w:rsidRPr="004D38A0">
        <w:rPr>
          <w:rFonts w:ascii="Arial" w:hAnsi="Arial" w:cs="Arial"/>
          <w:sz w:val="22"/>
          <w:szCs w:val="22"/>
          <w:lang w:val="de-DE" w:eastAsia="en-US"/>
        </w:rPr>
        <w:t>Baulos</w:t>
      </w:r>
      <w:proofErr w:type="spellEnd"/>
      <w:r w:rsidRPr="004D38A0">
        <w:rPr>
          <w:rFonts w:ascii="Arial" w:hAnsi="Arial" w:cs="Arial"/>
          <w:sz w:val="22"/>
          <w:szCs w:val="22"/>
          <w:lang w:val="de-DE" w:eastAsia="en-US"/>
        </w:rPr>
        <w:t xml:space="preserve"> für ca. 30 Wohnungen in derselben Zone, das dem Institut zur Verfügung steht, ist dem Programm für den Mittelstand vorbehalten.</w:t>
      </w:r>
      <w:r w:rsidR="009A3D43">
        <w:rPr>
          <w:rFonts w:ascii="Arial" w:hAnsi="Arial" w:cs="Arial"/>
          <w:sz w:val="22"/>
          <w:szCs w:val="22"/>
          <w:lang w:val="de-DE" w:eastAsia="en-US"/>
        </w:rPr>
        <w:t xml:space="preserve"> </w:t>
      </w:r>
      <w:r w:rsidRPr="004D38A0">
        <w:rPr>
          <w:rFonts w:ascii="Arial" w:hAnsi="Arial" w:cs="Arial"/>
          <w:sz w:val="22"/>
          <w:szCs w:val="22"/>
          <w:lang w:val="de-DE" w:eastAsia="en-US"/>
        </w:rPr>
        <w:t xml:space="preserve">Die endgültige Projektierung ist abgeschlossen, aber auf Grund der Einfügung einer Kitas ins Projekt (von der Gemeinde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xml:space="preserve"> gefordert), hat die Gemeinde selbst noch nicht die Variante des Durchführungsplanes genehmigt und hat somit eine Verspätung der Fertigstellung des Bauvorhabens von über einem Jahr verursacht.</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Techniker des </w:t>
      </w:r>
      <w:proofErr w:type="spellStart"/>
      <w:r w:rsidRPr="004D38A0">
        <w:rPr>
          <w:rFonts w:ascii="Arial" w:hAnsi="Arial" w:cs="Arial"/>
          <w:sz w:val="22"/>
          <w:szCs w:val="22"/>
          <w:lang w:val="de-DE" w:eastAsia="en-US"/>
        </w:rPr>
        <w:t>Wobi</w:t>
      </w:r>
      <w:proofErr w:type="spellEnd"/>
      <w:r w:rsidRPr="004D38A0">
        <w:rPr>
          <w:rFonts w:ascii="Arial" w:hAnsi="Arial" w:cs="Arial"/>
          <w:sz w:val="22"/>
          <w:szCs w:val="22"/>
          <w:lang w:val="de-DE" w:eastAsia="en-US"/>
        </w:rPr>
        <w:t xml:space="preserve"> haben eine Machbarkeitsstudie für den Abbruch und Wiederaufbau eines alten Gebäudes in der Unterbergstraße in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xml:space="preserve"> ausgearbeitet, aber die Ungewissheit in Bezug auf die Finanzierung erlaubt die Weiterentwicklung des Projektes nicht.</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Gemeinde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xml:space="preserve"> hat außerdem dem </w:t>
      </w:r>
      <w:proofErr w:type="spellStart"/>
      <w:r w:rsidRPr="004D38A0">
        <w:rPr>
          <w:rFonts w:ascii="Arial" w:hAnsi="Arial" w:cs="Arial"/>
          <w:sz w:val="22"/>
          <w:szCs w:val="22"/>
          <w:lang w:val="de-DE" w:eastAsia="en-US"/>
        </w:rPr>
        <w:t>Wobi</w:t>
      </w:r>
      <w:proofErr w:type="spellEnd"/>
      <w:r w:rsidRPr="004D38A0">
        <w:rPr>
          <w:rFonts w:ascii="Arial" w:hAnsi="Arial" w:cs="Arial"/>
          <w:sz w:val="22"/>
          <w:szCs w:val="22"/>
          <w:lang w:val="de-DE" w:eastAsia="en-US"/>
        </w:rPr>
        <w:t xml:space="preserve"> einen Grund in der Zone „</w:t>
      </w:r>
      <w:proofErr w:type="spellStart"/>
      <w:r w:rsidRPr="004D38A0">
        <w:rPr>
          <w:rFonts w:ascii="Arial" w:hAnsi="Arial" w:cs="Arial"/>
          <w:sz w:val="22"/>
          <w:szCs w:val="22"/>
          <w:lang w:val="de-DE" w:eastAsia="en-US"/>
        </w:rPr>
        <w:t>Toggenburg</w:t>
      </w:r>
      <w:proofErr w:type="spellEnd"/>
      <w:r w:rsidRPr="004D38A0">
        <w:rPr>
          <w:rFonts w:ascii="Arial" w:hAnsi="Arial" w:cs="Arial"/>
          <w:sz w:val="22"/>
          <w:szCs w:val="22"/>
          <w:lang w:val="de-DE" w:eastAsia="en-US"/>
        </w:rPr>
        <w:t xml:space="preserve"> 2“ angeboten, der für die Realisierung von 26 Wohnungen geeignet ist, aber auch in diesem Fall wurde der Gemeinde und dem zuständigen Landesrat mitgeteilt, dass der Ankauf auf Grund fehlender Finanzierung nicht möglich ist.</w:t>
      </w:r>
    </w:p>
    <w:p w:rsidR="00E34492" w:rsidRPr="004D38A0" w:rsidRDefault="00E34492" w:rsidP="00E34492">
      <w:pPr>
        <w:autoSpaceDE w:val="0"/>
        <w:autoSpaceDN w:val="0"/>
        <w:adjustRightInd w:val="0"/>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proofErr w:type="spellStart"/>
      <w:r w:rsidRPr="004D38A0">
        <w:rPr>
          <w:rFonts w:ascii="Arial" w:hAnsi="Arial" w:cs="Arial"/>
          <w:bCs/>
          <w:sz w:val="22"/>
          <w:szCs w:val="22"/>
          <w:u w:val="single"/>
          <w:lang w:val="de-DE" w:eastAsia="en-US"/>
        </w:rPr>
        <w:t>Eppan</w:t>
      </w:r>
      <w:proofErr w:type="spellEnd"/>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Insgesamt sieht das Bauprogramm für </w:t>
      </w:r>
      <w:proofErr w:type="spellStart"/>
      <w:r w:rsidRPr="004D38A0">
        <w:rPr>
          <w:rFonts w:ascii="Arial" w:hAnsi="Arial" w:cs="Arial"/>
          <w:sz w:val="22"/>
          <w:szCs w:val="22"/>
          <w:lang w:val="de-DE" w:eastAsia="en-US"/>
        </w:rPr>
        <w:t>Eppan</w:t>
      </w:r>
      <w:proofErr w:type="spellEnd"/>
      <w:r w:rsidRPr="004D38A0">
        <w:rPr>
          <w:rFonts w:ascii="Arial" w:hAnsi="Arial" w:cs="Arial"/>
          <w:sz w:val="22"/>
          <w:szCs w:val="22"/>
          <w:lang w:val="de-DE" w:eastAsia="en-US"/>
        </w:rPr>
        <w:t xml:space="preserve"> 33 Wohnungen vor. 16 davon sind fertiggestellt und den Mietern im Laufe des Jahres 2014 in der neuen Erweiterungszone „</w:t>
      </w:r>
      <w:proofErr w:type="spellStart"/>
      <w:r w:rsidRPr="004D38A0">
        <w:rPr>
          <w:rFonts w:ascii="Arial" w:hAnsi="Arial" w:cs="Arial"/>
          <w:sz w:val="22"/>
          <w:szCs w:val="22"/>
          <w:lang w:val="de-DE" w:eastAsia="en-US"/>
        </w:rPr>
        <w:t>Seewiese</w:t>
      </w:r>
      <w:proofErr w:type="spellEnd"/>
      <w:r w:rsidRPr="004D38A0">
        <w:rPr>
          <w:rFonts w:ascii="Arial" w:hAnsi="Arial" w:cs="Arial"/>
          <w:sz w:val="22"/>
          <w:szCs w:val="22"/>
          <w:lang w:val="de-DE" w:eastAsia="en-US"/>
        </w:rPr>
        <w:t xml:space="preserve">“ in </w:t>
      </w:r>
      <w:proofErr w:type="spellStart"/>
      <w:r w:rsidRPr="004D38A0">
        <w:rPr>
          <w:rFonts w:ascii="Arial" w:hAnsi="Arial" w:cs="Arial"/>
          <w:sz w:val="22"/>
          <w:szCs w:val="22"/>
          <w:lang w:val="de-DE" w:eastAsia="en-US"/>
        </w:rPr>
        <w:t>Girlan</w:t>
      </w:r>
      <w:proofErr w:type="spellEnd"/>
      <w:r w:rsidRPr="004D38A0">
        <w:rPr>
          <w:rFonts w:ascii="Arial" w:hAnsi="Arial" w:cs="Arial"/>
          <w:sz w:val="22"/>
          <w:szCs w:val="22"/>
          <w:lang w:val="de-DE" w:eastAsia="en-US"/>
        </w:rPr>
        <w:t xml:space="preserve"> übergeben worden, während für 17 Wohnungen noch die Grundzuweisung fehlt. Die Gemeinde wurde bereits mehrmals, auch kürzlich wieder, ersucht, dem Institut ein </w:t>
      </w:r>
      <w:proofErr w:type="spellStart"/>
      <w:r w:rsidRPr="004D38A0">
        <w:rPr>
          <w:rFonts w:ascii="Arial" w:hAnsi="Arial" w:cs="Arial"/>
          <w:sz w:val="22"/>
          <w:szCs w:val="22"/>
          <w:lang w:val="de-DE" w:eastAsia="en-US"/>
        </w:rPr>
        <w:t>Baulos</w:t>
      </w:r>
      <w:proofErr w:type="spellEnd"/>
      <w:r w:rsidRPr="004D38A0">
        <w:rPr>
          <w:rFonts w:ascii="Arial" w:hAnsi="Arial" w:cs="Arial"/>
          <w:sz w:val="22"/>
          <w:szCs w:val="22"/>
          <w:lang w:val="de-DE" w:eastAsia="en-US"/>
        </w:rPr>
        <w:t xml:space="preserve"> zuzuweisen, wenn auch bisher ohne Erfolg und auf Grund der aktuellen finanziellen Situation wäre ein Grundankauf sowieso nicht möglich.</w:t>
      </w:r>
    </w:p>
    <w:p w:rsidR="00293395" w:rsidRDefault="00293395" w:rsidP="00E34492">
      <w:pPr>
        <w:autoSpaceDE w:val="0"/>
        <w:autoSpaceDN w:val="0"/>
        <w:adjustRightInd w:val="0"/>
        <w:spacing w:line="360" w:lineRule="auto"/>
        <w:jc w:val="both"/>
        <w:rPr>
          <w:rFonts w:ascii="Arial" w:hAnsi="Arial" w:cs="Arial"/>
          <w:bCs/>
          <w:sz w:val="22"/>
          <w:szCs w:val="22"/>
          <w:u w:val="single"/>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r w:rsidRPr="004D38A0">
        <w:rPr>
          <w:rFonts w:ascii="Arial" w:hAnsi="Arial" w:cs="Arial"/>
          <w:bCs/>
          <w:sz w:val="22"/>
          <w:szCs w:val="22"/>
          <w:u w:val="single"/>
          <w:lang w:val="de-DE" w:eastAsia="en-US"/>
        </w:rPr>
        <w:t>Lana</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Von den 34 Wohnungen des Bauprogramms, werden 16 Wohnungen in der Zone „Spitalanger“ realisiert, dessen Ausschreibung im Gange ist. Der voraussichtliche Arbeitsbeginn ist der Frühjahr 2015. Es ist keine Finanzierung für andere Baugründe vorhanden.</w:t>
      </w:r>
    </w:p>
    <w:p w:rsidR="00E34492" w:rsidRPr="004D38A0" w:rsidRDefault="00E34492" w:rsidP="00E34492">
      <w:pPr>
        <w:autoSpaceDE w:val="0"/>
        <w:autoSpaceDN w:val="0"/>
        <w:adjustRightInd w:val="0"/>
        <w:jc w:val="both"/>
        <w:rPr>
          <w:rFonts w:ascii="Arial" w:hAnsi="Arial" w:cs="Arial"/>
          <w:b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proofErr w:type="spellStart"/>
      <w:r w:rsidRPr="004D38A0">
        <w:rPr>
          <w:rFonts w:ascii="Arial" w:hAnsi="Arial" w:cs="Arial"/>
          <w:bCs/>
          <w:sz w:val="22"/>
          <w:szCs w:val="22"/>
          <w:u w:val="single"/>
          <w:lang w:val="de-DE" w:eastAsia="en-US"/>
        </w:rPr>
        <w:t>Algund</w:t>
      </w:r>
      <w:proofErr w:type="spellEnd"/>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r w:rsidRPr="004D38A0">
        <w:rPr>
          <w:rFonts w:ascii="Arial" w:hAnsi="Arial" w:cs="Arial"/>
          <w:sz w:val="22"/>
          <w:szCs w:val="22"/>
          <w:lang w:val="de-DE" w:eastAsia="en-US"/>
        </w:rPr>
        <w:lastRenderedPageBreak/>
        <w:t xml:space="preserve">Das Bauprogramm für </w:t>
      </w:r>
      <w:proofErr w:type="spellStart"/>
      <w:r w:rsidRPr="004D38A0">
        <w:rPr>
          <w:rFonts w:ascii="Arial" w:hAnsi="Arial" w:cs="Arial"/>
          <w:sz w:val="22"/>
          <w:szCs w:val="22"/>
          <w:lang w:val="de-DE" w:eastAsia="en-US"/>
        </w:rPr>
        <w:t>Algund</w:t>
      </w:r>
      <w:proofErr w:type="spellEnd"/>
      <w:r w:rsidRPr="004D38A0">
        <w:rPr>
          <w:rFonts w:ascii="Arial" w:hAnsi="Arial" w:cs="Arial"/>
          <w:sz w:val="22"/>
          <w:szCs w:val="22"/>
          <w:lang w:val="de-DE" w:eastAsia="en-US"/>
        </w:rPr>
        <w:t xml:space="preserve"> sieht den Bau von 4 Wohnungen vor, aber es gibt derzeit keine Grundverfügbarkeit. Es wird weiterhin die Möglichkeit geprüft, ein ehemaliges „ANAS“-Areal, das ins Eigentum des Institutes übertragen wurde, für dieses Bauvorhaben zu nutzen. Derzeit bestehen aber Probleme wegen einer Straße, die den Grund teilt, und außerdem muss vor Beginn der Projektierung die Finanzierung zugesichert sein.</w:t>
      </w:r>
    </w:p>
    <w:p w:rsidR="00E34492" w:rsidRPr="004D38A0" w:rsidRDefault="00E34492" w:rsidP="00E34492">
      <w:pPr>
        <w:autoSpaceDE w:val="0"/>
        <w:autoSpaceDN w:val="0"/>
        <w:adjustRightInd w:val="0"/>
        <w:jc w:val="both"/>
        <w:rPr>
          <w:rFonts w:ascii="Arial" w:hAnsi="Arial" w:cs="Arial"/>
          <w:sz w:val="22"/>
          <w:szCs w:val="22"/>
          <w:u w:val="single"/>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r w:rsidRPr="004D38A0">
        <w:rPr>
          <w:rFonts w:ascii="Arial" w:hAnsi="Arial" w:cs="Arial"/>
          <w:bCs/>
          <w:sz w:val="22"/>
          <w:szCs w:val="22"/>
          <w:u w:val="single"/>
          <w:lang w:val="de-DE" w:eastAsia="en-US"/>
        </w:rPr>
        <w:t>Brixen</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In Brixen sind noch 22 Wohnungen im Rahmen des genehmigten Bauprogrammes verfügbar. Die Gemeinde ist in Erwartung der endgültigen Übertragung eines Baugrundes auf dem „</w:t>
      </w:r>
      <w:proofErr w:type="spellStart"/>
      <w:r w:rsidRPr="004D38A0">
        <w:rPr>
          <w:rFonts w:ascii="Arial" w:hAnsi="Arial" w:cs="Arial"/>
          <w:sz w:val="22"/>
          <w:szCs w:val="22"/>
          <w:lang w:val="de-DE" w:eastAsia="en-US"/>
        </w:rPr>
        <w:t>Schenoni</w:t>
      </w:r>
      <w:proofErr w:type="spellEnd"/>
      <w:r w:rsidRPr="004D38A0">
        <w:rPr>
          <w:rFonts w:ascii="Arial" w:hAnsi="Arial" w:cs="Arial"/>
          <w:sz w:val="22"/>
          <w:szCs w:val="22"/>
          <w:lang w:val="de-DE" w:eastAsia="en-US"/>
        </w:rPr>
        <w:t>“-Areal von ungefähr 2 ha, welches unter anderem auch dem sozialen Wohnbau zugeführt werden soll.</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Derzeit wird das Gebäude in der </w:t>
      </w:r>
      <w:proofErr w:type="spellStart"/>
      <w:r w:rsidRPr="004D38A0">
        <w:rPr>
          <w:rFonts w:ascii="Arial" w:hAnsi="Arial" w:cs="Arial"/>
          <w:sz w:val="22"/>
          <w:szCs w:val="22"/>
          <w:lang w:val="de-DE" w:eastAsia="en-US"/>
        </w:rPr>
        <w:t>Hartwiggasse</w:t>
      </w:r>
      <w:proofErr w:type="spellEnd"/>
      <w:r w:rsidRPr="004D38A0">
        <w:rPr>
          <w:rFonts w:ascii="Arial" w:hAnsi="Arial" w:cs="Arial"/>
          <w:sz w:val="22"/>
          <w:szCs w:val="22"/>
          <w:lang w:val="de-DE" w:eastAsia="en-US"/>
        </w:rPr>
        <w:t xml:space="preserve"> saniert, mit der Fertigstellung von 8 Wohnungen innerhalb des Jahres 2014 und dessen Übergabe an die Mieter im Jänner 2015.</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Es ist derzeit die Projektierung von 18 Wohnungen in der </w:t>
      </w:r>
      <w:proofErr w:type="spellStart"/>
      <w:r w:rsidRPr="004D38A0">
        <w:rPr>
          <w:rFonts w:ascii="Arial" w:hAnsi="Arial" w:cs="Arial"/>
          <w:sz w:val="22"/>
          <w:szCs w:val="22"/>
          <w:lang w:val="de-DE" w:eastAsia="en-US"/>
        </w:rPr>
        <w:t>Runggadgasse</w:t>
      </w:r>
      <w:proofErr w:type="spellEnd"/>
      <w:r w:rsidRPr="004D38A0">
        <w:rPr>
          <w:rFonts w:ascii="Arial" w:hAnsi="Arial" w:cs="Arial"/>
          <w:sz w:val="22"/>
          <w:szCs w:val="22"/>
          <w:lang w:val="de-DE" w:eastAsia="en-US"/>
        </w:rPr>
        <w:t xml:space="preserve"> im Gange (9 Altenwohnungen und 9 Wohnungen für den Mittelstand), aber im Moment ohne Finanzierung.</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Die Gemeinde hat letzthin die Absicht mitgeteilt, dem Institut in den Zonen „Landwirt 4“ (9 Wohnungen) und in der Zone „Reifer“ (5 Wohnungen) einen Baugrund zuzuweisen. Der Ankauf kann nur in Betracht gezogen werden, wenn die Finanzierung zur Realisierung der Bauvorhaben zugesichert wird.</w:t>
      </w:r>
    </w:p>
    <w:p w:rsidR="00E34492" w:rsidRPr="004D38A0" w:rsidRDefault="00E34492" w:rsidP="00E34492">
      <w:pPr>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bCs/>
          <w:sz w:val="22"/>
          <w:szCs w:val="22"/>
          <w:u w:val="single"/>
          <w:lang w:val="de-DE" w:eastAsia="en-US"/>
        </w:rPr>
      </w:pPr>
      <w:proofErr w:type="spellStart"/>
      <w:r w:rsidRPr="004D38A0">
        <w:rPr>
          <w:rFonts w:ascii="Arial" w:hAnsi="Arial" w:cs="Arial"/>
          <w:bCs/>
          <w:sz w:val="22"/>
          <w:szCs w:val="22"/>
          <w:u w:val="single"/>
          <w:lang w:val="de-DE" w:eastAsia="en-US"/>
        </w:rPr>
        <w:t>Bruneck</w:t>
      </w:r>
      <w:proofErr w:type="spellEnd"/>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Das genehmigte Bauprogramm sieht den Bau von insgesamt 64 Wohnungen vor. 16 Wohnungen wurden im Jahre 2014 in der Zone „</w:t>
      </w:r>
      <w:proofErr w:type="spellStart"/>
      <w:r w:rsidRPr="004D38A0">
        <w:rPr>
          <w:rFonts w:ascii="Arial" w:hAnsi="Arial" w:cs="Arial"/>
          <w:sz w:val="22"/>
          <w:szCs w:val="22"/>
          <w:lang w:val="de-DE" w:eastAsia="en-US"/>
        </w:rPr>
        <w:t>Sternwaldele</w:t>
      </w:r>
      <w:proofErr w:type="spellEnd"/>
      <w:r w:rsidRPr="004D38A0">
        <w:rPr>
          <w:rFonts w:ascii="Arial" w:hAnsi="Arial" w:cs="Arial"/>
          <w:sz w:val="22"/>
          <w:szCs w:val="22"/>
          <w:lang w:val="de-DE" w:eastAsia="en-US"/>
        </w:rPr>
        <w:t xml:space="preserve">“ den Mietern übergeben. Für 15 der übrigen 48 Wohnungen des vorgesehenen Bauprogrammes hat die Landesverwaltung neulich dem Institut einen Baugrund übertragen, den es von der ANAS angekauft hatte. Auch hierfür fehlt die </w:t>
      </w:r>
      <w:r w:rsidR="00293395">
        <w:rPr>
          <w:rFonts w:ascii="Arial" w:hAnsi="Arial" w:cs="Arial"/>
          <w:sz w:val="22"/>
          <w:szCs w:val="22"/>
          <w:lang w:val="de-DE" w:eastAsia="en-US"/>
        </w:rPr>
        <w:t xml:space="preserve">notwendige </w:t>
      </w:r>
      <w:r w:rsidRPr="004D38A0">
        <w:rPr>
          <w:rFonts w:ascii="Arial" w:hAnsi="Arial" w:cs="Arial"/>
          <w:sz w:val="22"/>
          <w:szCs w:val="22"/>
          <w:lang w:val="de-DE" w:eastAsia="en-US"/>
        </w:rPr>
        <w:t>Finanzierung.</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Für die restlichen 33 Wohnungen würde die Gemeinde einen Grund in der Zone „ex </w:t>
      </w:r>
      <w:proofErr w:type="spellStart"/>
      <w:r w:rsidRPr="004D38A0">
        <w:rPr>
          <w:rFonts w:ascii="Arial" w:hAnsi="Arial" w:cs="Arial"/>
          <w:sz w:val="22"/>
          <w:szCs w:val="22"/>
          <w:lang w:val="de-DE" w:eastAsia="en-US"/>
        </w:rPr>
        <w:t>caserma</w:t>
      </w:r>
      <w:proofErr w:type="spellEnd"/>
      <w:r w:rsidRPr="004D38A0">
        <w:rPr>
          <w:rFonts w:ascii="Arial" w:hAnsi="Arial" w:cs="Arial"/>
          <w:sz w:val="22"/>
          <w:szCs w:val="22"/>
          <w:lang w:val="de-DE" w:eastAsia="en-US"/>
        </w:rPr>
        <w:t xml:space="preserve"> </w:t>
      </w:r>
      <w:proofErr w:type="spellStart"/>
      <w:r w:rsidRPr="004D38A0">
        <w:rPr>
          <w:rFonts w:ascii="Arial" w:hAnsi="Arial" w:cs="Arial"/>
          <w:sz w:val="22"/>
          <w:szCs w:val="22"/>
          <w:lang w:val="de-DE" w:eastAsia="en-US"/>
        </w:rPr>
        <w:t>Decobelli</w:t>
      </w:r>
      <w:proofErr w:type="spellEnd"/>
      <w:r w:rsidRPr="004D38A0">
        <w:rPr>
          <w:rFonts w:ascii="Arial" w:hAnsi="Arial" w:cs="Arial"/>
          <w:sz w:val="22"/>
          <w:szCs w:val="22"/>
          <w:lang w:val="de-DE" w:eastAsia="en-US"/>
        </w:rPr>
        <w:t>“ zuweisen, aber der Ankauf kann nur dann in Betracht gezogen werden, wenn die Finanzierung zur Realisierung der Bauvorhaben zugesichert wird.</w:t>
      </w:r>
    </w:p>
    <w:p w:rsidR="00E34492" w:rsidRPr="004D38A0" w:rsidRDefault="00E34492" w:rsidP="00E34492">
      <w:pPr>
        <w:jc w:val="both"/>
        <w:rPr>
          <w:rFonts w:ascii="Arial" w:hAnsi="Arial" w:cs="Arial"/>
          <w:sz w:val="22"/>
          <w:szCs w:val="22"/>
          <w:lang w:val="de-DE" w:eastAsia="en-US"/>
        </w:rPr>
      </w:pPr>
    </w:p>
    <w:p w:rsidR="00E34492" w:rsidRPr="004D38A0" w:rsidRDefault="00E34492" w:rsidP="00E34492">
      <w:pPr>
        <w:jc w:val="both"/>
        <w:rPr>
          <w:rFonts w:ascii="Arial" w:hAnsi="Arial" w:cs="Arial"/>
          <w:sz w:val="22"/>
          <w:szCs w:val="22"/>
          <w:lang w:val="de-DE" w:eastAsia="en-US"/>
        </w:rPr>
      </w:pPr>
    </w:p>
    <w:p w:rsidR="00E34492" w:rsidRPr="004D38A0" w:rsidRDefault="00E34492" w:rsidP="00E34492">
      <w:pPr>
        <w:jc w:val="both"/>
        <w:rPr>
          <w:rFonts w:ascii="Arial" w:hAnsi="Arial" w:cs="Arial"/>
          <w:b/>
          <w:bCs/>
          <w:sz w:val="22"/>
          <w:szCs w:val="22"/>
          <w:lang w:val="de-DE" w:eastAsia="en-US"/>
        </w:rPr>
      </w:pPr>
      <w:r w:rsidRPr="004D38A0">
        <w:rPr>
          <w:rFonts w:ascii="Arial" w:hAnsi="Arial" w:cs="Arial"/>
          <w:b/>
          <w:bCs/>
          <w:sz w:val="22"/>
          <w:szCs w:val="22"/>
          <w:lang w:val="de-DE" w:eastAsia="en-US"/>
        </w:rPr>
        <w:t>BAU VON WOHNUNGEN FÜR DEN MITTELSTAND</w:t>
      </w:r>
    </w:p>
    <w:p w:rsidR="00E34492" w:rsidRPr="004D38A0" w:rsidRDefault="00E34492" w:rsidP="00E34492">
      <w:pPr>
        <w:jc w:val="both"/>
        <w:rPr>
          <w:rFonts w:ascii="Arial" w:hAnsi="Arial" w:cs="Arial"/>
          <w:bCs/>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Landesverwaltung hat die Zuweisungskriterien für die sogenannten „Wohnungen für den Mittelstand“ erarbeitet und gleichzeitig festgesetzt, dass das Institut nur Mietwohnungen zur Verfügung stellen muss. Im Laufe des Jahres 2013 hat das </w:t>
      </w:r>
      <w:proofErr w:type="spellStart"/>
      <w:r w:rsidRPr="004D38A0">
        <w:rPr>
          <w:rFonts w:ascii="Arial" w:hAnsi="Arial" w:cs="Arial"/>
          <w:sz w:val="22"/>
          <w:szCs w:val="22"/>
          <w:lang w:val="de-DE" w:eastAsia="en-US"/>
        </w:rPr>
        <w:t>Wobi</w:t>
      </w:r>
      <w:proofErr w:type="spellEnd"/>
      <w:r w:rsidRPr="004D38A0">
        <w:rPr>
          <w:rFonts w:ascii="Arial" w:hAnsi="Arial" w:cs="Arial"/>
          <w:sz w:val="22"/>
          <w:szCs w:val="22"/>
          <w:lang w:val="de-DE" w:eastAsia="en-US"/>
        </w:rPr>
        <w:t xml:space="preserve"> auf Anordnung der Landesverwaltung nach Übergabe von 60 Wohnungen in der Zone „</w:t>
      </w:r>
      <w:proofErr w:type="spellStart"/>
      <w:r w:rsidRPr="004D38A0">
        <w:rPr>
          <w:rFonts w:ascii="Arial" w:hAnsi="Arial" w:cs="Arial"/>
          <w:sz w:val="22"/>
          <w:szCs w:val="22"/>
          <w:lang w:val="de-DE" w:eastAsia="en-US"/>
        </w:rPr>
        <w:t>Kaiserau-Bivio</w:t>
      </w:r>
      <w:proofErr w:type="spellEnd"/>
      <w:r w:rsidRPr="004D38A0">
        <w:rPr>
          <w:rFonts w:ascii="Arial" w:hAnsi="Arial" w:cs="Arial"/>
          <w:sz w:val="22"/>
          <w:szCs w:val="22"/>
          <w:lang w:val="de-DE" w:eastAsia="en-US"/>
        </w:rPr>
        <w:t xml:space="preserve">“, die Bekanntmachungen für die fertigen Wohnungen und für die noch nicht bebauten </w:t>
      </w:r>
      <w:r w:rsidRPr="004D38A0">
        <w:rPr>
          <w:rFonts w:ascii="Arial" w:hAnsi="Arial" w:cs="Arial"/>
          <w:sz w:val="22"/>
          <w:szCs w:val="22"/>
          <w:lang w:val="de-DE" w:eastAsia="en-US"/>
        </w:rPr>
        <w:lastRenderedPageBreak/>
        <w:t>Grundstücke in eine neue umgewandelt, um 100 Wohnungen für den Wohnbau auf geeigneten Grundstücken mit dementsprechenden Projekten planen zu können.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Der Zuschlag konnte nicht erteilt werden, da die einzige am Wettbewerb teilnehmende Firma ausgeschlossen wurde, da das Projekt nicht die geforderten technischen Eigenschaften aufwies; deshalb hat diese Rekurs beim Verwaltungsgericht eingereicht und die erste Verhandlung ist im November 2014 anberaumt.</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Arbeiten für den Bau von 50 Wohnungen in Meran sind im Gange. </w:t>
      </w:r>
      <w:r w:rsidR="0095570D" w:rsidRPr="004D38A0">
        <w:rPr>
          <w:rFonts w:ascii="Arial" w:hAnsi="Arial" w:cs="Arial"/>
          <w:sz w:val="22"/>
          <w:szCs w:val="22"/>
          <w:lang w:val="de-DE" w:eastAsia="en-US"/>
        </w:rPr>
        <w:t xml:space="preserve">Ein Teil dieser Wohnungen ist dem Mittelstand </w:t>
      </w:r>
      <w:r w:rsidRPr="004D38A0">
        <w:rPr>
          <w:rFonts w:ascii="Arial" w:hAnsi="Arial" w:cs="Arial"/>
          <w:sz w:val="22"/>
          <w:szCs w:val="22"/>
          <w:lang w:val="de-DE" w:eastAsia="en-US"/>
        </w:rPr>
        <w:t>vorbehalten. Die Arbeiten werden Ende 2014 fertiggestellt, die Wohnungen werden hingegen in den ersten Monaten des Jahres 2015 übergeben.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Das Institut verfügt über ein </w:t>
      </w:r>
      <w:proofErr w:type="spellStart"/>
      <w:r w:rsidRPr="004D38A0">
        <w:rPr>
          <w:rFonts w:ascii="Arial" w:hAnsi="Arial" w:cs="Arial"/>
          <w:sz w:val="22"/>
          <w:szCs w:val="22"/>
          <w:lang w:val="de-DE" w:eastAsia="en-US"/>
        </w:rPr>
        <w:t>Baulos</w:t>
      </w:r>
      <w:proofErr w:type="spellEnd"/>
      <w:r w:rsidRPr="004D38A0">
        <w:rPr>
          <w:rFonts w:ascii="Arial" w:hAnsi="Arial" w:cs="Arial"/>
          <w:sz w:val="22"/>
          <w:szCs w:val="22"/>
          <w:lang w:val="de-DE" w:eastAsia="en-US"/>
        </w:rPr>
        <w:t xml:space="preserve"> in der Gemeinde </w:t>
      </w:r>
      <w:proofErr w:type="spellStart"/>
      <w:r w:rsidRPr="004D38A0">
        <w:rPr>
          <w:rFonts w:ascii="Arial" w:hAnsi="Arial" w:cs="Arial"/>
          <w:sz w:val="22"/>
          <w:szCs w:val="22"/>
          <w:lang w:val="de-DE" w:eastAsia="en-US"/>
        </w:rPr>
        <w:t>Leifers</w:t>
      </w:r>
      <w:proofErr w:type="spellEnd"/>
      <w:r w:rsidRPr="004D38A0">
        <w:rPr>
          <w:rFonts w:ascii="Arial" w:hAnsi="Arial" w:cs="Arial"/>
          <w:sz w:val="22"/>
          <w:szCs w:val="22"/>
          <w:lang w:val="de-DE" w:eastAsia="en-US"/>
        </w:rPr>
        <w:t>, Zone „</w:t>
      </w:r>
      <w:proofErr w:type="spellStart"/>
      <w:r w:rsidRPr="004D38A0">
        <w:rPr>
          <w:rFonts w:ascii="Arial" w:hAnsi="Arial" w:cs="Arial"/>
          <w:sz w:val="22"/>
          <w:szCs w:val="22"/>
          <w:lang w:val="de-DE" w:eastAsia="en-US"/>
        </w:rPr>
        <w:t>Toggenburg</w:t>
      </w:r>
      <w:proofErr w:type="spellEnd"/>
      <w:r w:rsidRPr="004D38A0">
        <w:rPr>
          <w:rFonts w:ascii="Arial" w:hAnsi="Arial" w:cs="Arial"/>
          <w:sz w:val="22"/>
          <w:szCs w:val="22"/>
          <w:lang w:val="de-DE" w:eastAsia="en-US"/>
        </w:rPr>
        <w:t xml:space="preserve"> 1“ für die Verwirklichung von za. 30 Wohnungen, die in Projektierung sind.</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Auch für die Gemeinde </w:t>
      </w:r>
      <w:proofErr w:type="spellStart"/>
      <w:r w:rsidRPr="004D38A0">
        <w:rPr>
          <w:rFonts w:ascii="Arial" w:hAnsi="Arial" w:cs="Arial"/>
          <w:sz w:val="22"/>
          <w:szCs w:val="22"/>
          <w:lang w:val="de-DE" w:eastAsia="en-US"/>
        </w:rPr>
        <w:t>Bruneck</w:t>
      </w:r>
      <w:proofErr w:type="spellEnd"/>
      <w:r w:rsidRPr="004D38A0">
        <w:rPr>
          <w:rFonts w:ascii="Arial" w:hAnsi="Arial" w:cs="Arial"/>
          <w:sz w:val="22"/>
          <w:szCs w:val="22"/>
          <w:lang w:val="de-DE" w:eastAsia="en-US"/>
        </w:rPr>
        <w:t xml:space="preserve"> wurde eine Ausschreibung für unbebaute Grundstücke durchgeführt, auf denen das Institut Wohnungen verwirklichen sollte, aber auch diese Ausschreibung ging leer aus. </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Was hingegen die Gemeinde Brixen anlangt, so hat diese im Laufe des Jahres 2012 grundsätzlich beschlossen, dem Institut mittels Einräumung eines Oberflächenrechtes das Gebäude in der </w:t>
      </w:r>
      <w:proofErr w:type="spellStart"/>
      <w:r w:rsidRPr="004D38A0">
        <w:rPr>
          <w:rFonts w:ascii="Arial" w:hAnsi="Arial" w:cs="Arial"/>
          <w:sz w:val="22"/>
          <w:szCs w:val="22"/>
          <w:lang w:val="de-DE" w:eastAsia="en-US"/>
        </w:rPr>
        <w:t>Runggadgasse</w:t>
      </w:r>
      <w:proofErr w:type="spellEnd"/>
      <w:r w:rsidRPr="004D38A0">
        <w:rPr>
          <w:rFonts w:ascii="Arial" w:hAnsi="Arial" w:cs="Arial"/>
          <w:sz w:val="22"/>
          <w:szCs w:val="22"/>
          <w:lang w:val="de-DE" w:eastAsia="en-US"/>
        </w:rPr>
        <w:t xml:space="preserve"> zur Verfügung zu stellen. In diesem können ungefähr 9 Wohnungen für den Mittelstand und 9 Altenwohnungen erstellt werden. Derzeit ist Planung im Gange.</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Was die Bauvorhaben in den übrigen Gemeinden anlangt, so wird auf diesbezügliche Anweisungen von Seiten der Landesregierung gewartet.</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p>
    <w:p w:rsidR="00E34492" w:rsidRPr="004D38A0" w:rsidRDefault="00E34492" w:rsidP="00E34492">
      <w:pPr>
        <w:jc w:val="both"/>
        <w:rPr>
          <w:rFonts w:ascii="Arial" w:hAnsi="Arial" w:cs="Arial"/>
          <w:b/>
          <w:bCs/>
          <w:sz w:val="22"/>
          <w:szCs w:val="22"/>
          <w:lang w:val="de-DE" w:eastAsia="en-US"/>
        </w:rPr>
      </w:pPr>
      <w:r w:rsidRPr="004D38A0">
        <w:rPr>
          <w:rFonts w:ascii="Arial" w:hAnsi="Arial" w:cs="Arial"/>
          <w:b/>
          <w:bCs/>
          <w:sz w:val="22"/>
          <w:szCs w:val="22"/>
          <w:lang w:val="de-DE" w:eastAsia="en-US"/>
        </w:rPr>
        <w:t>AUSSERORDENTLICHE INSTANDHALTUNGSARBEITEN FÜR DAS JAHR 2015</w:t>
      </w:r>
    </w:p>
    <w:p w:rsidR="00E34492" w:rsidRPr="004D38A0" w:rsidRDefault="00E34492" w:rsidP="00E34492">
      <w:pPr>
        <w:autoSpaceDE w:val="0"/>
        <w:autoSpaceDN w:val="0"/>
        <w:adjustRightInd w:val="0"/>
        <w:jc w:val="both"/>
        <w:rPr>
          <w:rFonts w:ascii="Arial" w:hAnsi="Arial" w:cs="Arial"/>
          <w:sz w:val="22"/>
          <w:szCs w:val="22"/>
          <w:lang w:val="de-DE" w:eastAsia="en-US"/>
        </w:rPr>
      </w:pP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Auch im Bereich der außerordentlichen Gebäudeinstandhaltung wird das Institut im kommenden Jahr wieder finanzielle und organisatorische Mittel für eine vorgesehene Ausgabe von insgesamt </w:t>
      </w:r>
      <w:r w:rsidRPr="004D38A0">
        <w:rPr>
          <w:rFonts w:ascii="Arial" w:hAnsi="Arial" w:cs="Arial"/>
          <w:color w:val="000000"/>
          <w:sz w:val="22"/>
          <w:szCs w:val="22"/>
          <w:lang w:val="de-DE" w:eastAsia="en-US"/>
        </w:rPr>
        <w:t xml:space="preserve">€ </w:t>
      </w:r>
      <w:r w:rsidR="00FB60D7" w:rsidRPr="004D38A0">
        <w:rPr>
          <w:rFonts w:ascii="Arial" w:hAnsi="Arial" w:cs="Arial"/>
          <w:color w:val="000000"/>
          <w:sz w:val="22"/>
          <w:szCs w:val="22"/>
          <w:lang w:val="de-DE" w:eastAsia="en-US"/>
        </w:rPr>
        <w:t>21</w:t>
      </w:r>
      <w:r w:rsidRPr="004D38A0">
        <w:rPr>
          <w:rFonts w:ascii="Arial" w:hAnsi="Arial" w:cs="Arial"/>
          <w:color w:val="000000"/>
          <w:sz w:val="22"/>
          <w:szCs w:val="22"/>
          <w:lang w:val="de-DE" w:eastAsia="en-US"/>
        </w:rPr>
        <w:t>.</w:t>
      </w:r>
      <w:r w:rsidR="00FB60D7" w:rsidRPr="004D38A0">
        <w:rPr>
          <w:rFonts w:ascii="Arial" w:hAnsi="Arial" w:cs="Arial"/>
          <w:color w:val="000000"/>
          <w:sz w:val="22"/>
          <w:szCs w:val="22"/>
          <w:lang w:val="de-DE" w:eastAsia="en-US"/>
        </w:rPr>
        <w:t>0</w:t>
      </w:r>
      <w:r w:rsidRPr="004D38A0">
        <w:rPr>
          <w:rFonts w:ascii="Arial" w:hAnsi="Arial" w:cs="Arial"/>
          <w:color w:val="000000"/>
          <w:sz w:val="22"/>
          <w:szCs w:val="22"/>
          <w:lang w:val="de-DE" w:eastAsia="en-US"/>
        </w:rPr>
        <w:t>50.000</w:t>
      </w:r>
      <w:r w:rsidRPr="004D38A0">
        <w:rPr>
          <w:rFonts w:ascii="Arial" w:hAnsi="Arial" w:cs="Arial"/>
          <w:sz w:val="22"/>
          <w:szCs w:val="22"/>
          <w:lang w:val="de-DE" w:eastAsia="en-US"/>
        </w:rPr>
        <w:t xml:space="preserve"> einsetzen</w:t>
      </w:r>
      <w:r w:rsidRPr="004D38A0">
        <w:rPr>
          <w:rFonts w:ascii="Arial" w:hAnsi="Arial" w:cs="Arial"/>
          <w:color w:val="000000"/>
          <w:sz w:val="22"/>
          <w:szCs w:val="22"/>
          <w:lang w:val="de-DE" w:eastAsia="en-US"/>
        </w:rPr>
        <w:t>.</w:t>
      </w:r>
      <w:r w:rsidRPr="004D38A0">
        <w:rPr>
          <w:rFonts w:ascii="Arial" w:hAnsi="Arial" w:cs="Arial"/>
          <w:sz w:val="22"/>
          <w:szCs w:val="22"/>
          <w:lang w:val="de-DE" w:eastAsia="en-US"/>
        </w:rPr>
        <w:t xml:space="preserve"> </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Die vorgesehenen baulichen Eingriffe betreffen die Erhaltung und Sanierung, auch in energetischer Hinsicht, der Gebäude, insbesondere die Sanierung von Fassaden, Dächern, Fenstern, die Erneuerung von Abdichtungen, die Ausführung von Wärmedämmungen, die Neugestaltung von Außenbereichen, die Erneuerung von Aufzugsanlagen, von Elektroanlagen und deren Anpassung an die gesetzlichen Bestimmungen. </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Weiteres ist die Erneuerung von verschiedenen Heizungsanlagen vorgesehen und, wo möglich, deren Anschluss an ein Fernheizwerk, sowie die Sanierung von einzelnen Wohnungen und der Abbau von architektonischen Barrieren sowie die Anpassung der unterirdischen Garagen an die Brandschutzbestimmungen.</w:t>
      </w:r>
    </w:p>
    <w:p w:rsidR="00E34492" w:rsidRPr="004D38A0"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Im oben angeführten Gesamtbetrag sind insbesondere die Ausgaben von € 5.320.000, für die Sanierung von ungefähr 140 Altbauwohnungen enthalten, die voraussichtlich freigestellt </w:t>
      </w:r>
      <w:r w:rsidRPr="004D38A0">
        <w:rPr>
          <w:rFonts w:ascii="Arial" w:hAnsi="Arial" w:cs="Arial"/>
          <w:sz w:val="22"/>
          <w:szCs w:val="22"/>
          <w:lang w:val="de-DE" w:eastAsia="en-US"/>
        </w:rPr>
        <w:lastRenderedPageBreak/>
        <w:t>werden. Weitere € 600.000 werden für die schätzungsweise 80 Eingriffe zum Abbau der architektonischen Barrieren in den Wohnungen (insbesondere in den Bädern) ausgegeben werden.</w:t>
      </w:r>
    </w:p>
    <w:p w:rsidR="00E34492" w:rsidRDefault="00E34492" w:rsidP="00E34492">
      <w:pPr>
        <w:autoSpaceDE w:val="0"/>
        <w:autoSpaceDN w:val="0"/>
        <w:adjustRightInd w:val="0"/>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Der zur Verfügung stehende Betrag ist im Verhältnis zum Jahr 2014 auf Grund geringerer Verfügbarkeit </w:t>
      </w:r>
      <w:r w:rsidR="001A2834">
        <w:rPr>
          <w:rFonts w:ascii="Arial" w:hAnsi="Arial" w:cs="Arial"/>
          <w:sz w:val="22"/>
          <w:szCs w:val="22"/>
          <w:lang w:val="de-DE" w:eastAsia="en-US"/>
        </w:rPr>
        <w:t>der</w:t>
      </w:r>
      <w:r w:rsidRPr="004D38A0">
        <w:rPr>
          <w:rFonts w:ascii="Arial" w:hAnsi="Arial" w:cs="Arial"/>
          <w:sz w:val="22"/>
          <w:szCs w:val="22"/>
          <w:lang w:val="de-DE" w:eastAsia="en-US"/>
        </w:rPr>
        <w:t xml:space="preserve"> Finanzierung reduziert worden.</w:t>
      </w:r>
    </w:p>
    <w:p w:rsidR="008742F5" w:rsidRPr="004D38A0" w:rsidRDefault="008742F5" w:rsidP="00E34492">
      <w:pPr>
        <w:autoSpaceDE w:val="0"/>
        <w:autoSpaceDN w:val="0"/>
        <w:adjustRightInd w:val="0"/>
        <w:spacing w:line="360" w:lineRule="auto"/>
        <w:jc w:val="both"/>
        <w:rPr>
          <w:rFonts w:ascii="Arial" w:hAnsi="Arial" w:cs="Arial"/>
          <w:sz w:val="22"/>
          <w:szCs w:val="22"/>
          <w:lang w:val="de-DE" w:eastAsia="en-US"/>
        </w:rPr>
      </w:pPr>
    </w:p>
    <w:p w:rsidR="008742F5" w:rsidRDefault="008742F5" w:rsidP="008742F5">
      <w:pPr>
        <w:jc w:val="both"/>
        <w:rPr>
          <w:rFonts w:ascii="Arial" w:hAnsi="Arial" w:cs="Arial"/>
          <w:b/>
          <w:bCs/>
          <w:sz w:val="22"/>
          <w:szCs w:val="22"/>
          <w:lang w:val="de-DE"/>
        </w:rPr>
      </w:pPr>
      <w:r>
        <w:rPr>
          <w:rFonts w:ascii="Arial" w:hAnsi="Arial" w:cs="Arial"/>
          <w:b/>
          <w:bCs/>
          <w:sz w:val="22"/>
          <w:szCs w:val="22"/>
          <w:lang w:val="de-DE"/>
        </w:rPr>
        <w:t>ORDENTLICHE INSTANDHALTUNG UND WOHNUNGSSANIERUNGEN</w:t>
      </w:r>
    </w:p>
    <w:p w:rsidR="008742F5" w:rsidRPr="001B53D3" w:rsidRDefault="008742F5" w:rsidP="008742F5">
      <w:pPr>
        <w:jc w:val="both"/>
        <w:rPr>
          <w:rFonts w:ascii="Arial" w:hAnsi="Arial" w:cs="Arial"/>
          <w:bCs/>
          <w:sz w:val="22"/>
          <w:szCs w:val="22"/>
          <w:lang w:val="de-DE"/>
        </w:rPr>
      </w:pPr>
    </w:p>
    <w:p w:rsidR="008742F5" w:rsidRDefault="008742F5" w:rsidP="008742F5">
      <w:pPr>
        <w:autoSpaceDE w:val="0"/>
        <w:autoSpaceDN w:val="0"/>
        <w:adjustRightInd w:val="0"/>
        <w:spacing w:line="360" w:lineRule="auto"/>
        <w:jc w:val="both"/>
        <w:rPr>
          <w:rFonts w:ascii="Arial" w:hAnsi="Arial" w:cs="Arial"/>
          <w:sz w:val="22"/>
          <w:szCs w:val="22"/>
          <w:lang w:val="de-DE"/>
        </w:rPr>
      </w:pPr>
      <w:r>
        <w:rPr>
          <w:rFonts w:ascii="Arial" w:hAnsi="Arial" w:cs="Arial"/>
          <w:sz w:val="22"/>
          <w:szCs w:val="22"/>
          <w:lang w:val="de-DE"/>
        </w:rPr>
        <w:t xml:space="preserve">Mit 1. Oktober 2014 ist der Aufgabenbereich der ordentlichen Instandhaltung von der Mieterservicestelle auf die Technischen Dienste übergegangen. Es handelt sich nicht nur um einfachen Übergang eines Büro ins andere, sondern um eine effektive Reorganisation, mit Verstärkung der Struktur durch Versetzung von </w:t>
      </w:r>
      <w:r w:rsidR="00A03061">
        <w:rPr>
          <w:rFonts w:ascii="Arial" w:hAnsi="Arial" w:cs="Arial"/>
          <w:sz w:val="22"/>
          <w:szCs w:val="22"/>
          <w:lang w:val="de-DE"/>
        </w:rPr>
        <w:t>qualifiziertem Personal</w:t>
      </w:r>
      <w:r>
        <w:rPr>
          <w:rFonts w:ascii="Arial" w:hAnsi="Arial" w:cs="Arial"/>
          <w:sz w:val="22"/>
          <w:szCs w:val="22"/>
          <w:lang w:val="de-DE"/>
        </w:rPr>
        <w:t xml:space="preserve"> der Technischen Dienste.</w:t>
      </w:r>
    </w:p>
    <w:p w:rsidR="008742F5" w:rsidRPr="0020596C" w:rsidRDefault="008742F5" w:rsidP="008742F5">
      <w:pPr>
        <w:autoSpaceDE w:val="0"/>
        <w:autoSpaceDN w:val="0"/>
        <w:adjustRightInd w:val="0"/>
        <w:spacing w:line="360" w:lineRule="auto"/>
        <w:jc w:val="both"/>
        <w:rPr>
          <w:rFonts w:ascii="Arial" w:hAnsi="Arial" w:cs="Arial"/>
          <w:sz w:val="22"/>
          <w:szCs w:val="22"/>
          <w:lang w:val="de-DE"/>
        </w:rPr>
      </w:pPr>
      <w:r>
        <w:rPr>
          <w:rFonts w:ascii="Arial" w:hAnsi="Arial" w:cs="Arial"/>
          <w:sz w:val="22"/>
          <w:szCs w:val="22"/>
          <w:lang w:val="de-DE"/>
        </w:rPr>
        <w:t xml:space="preserve">Die ordentliche Instandhaltung wird im Jahre 2015 za. 4.000 Eingriffe vornehmen, außer den Wohnungssanierungen der leerstehenden Wohnungen in den Zonen Brixen und Meran. Für die Ausführung derselben sind in der Jahresbilanz 2015 za. </w:t>
      </w:r>
      <w:r w:rsidR="00F82EF3">
        <w:rPr>
          <w:rFonts w:ascii="Arial" w:hAnsi="Arial" w:cs="Arial"/>
          <w:sz w:val="22"/>
          <w:szCs w:val="22"/>
          <w:lang w:val="de-DE"/>
        </w:rPr>
        <w:t xml:space="preserve">€ </w:t>
      </w:r>
      <w:r>
        <w:rPr>
          <w:rFonts w:ascii="Arial" w:hAnsi="Arial" w:cs="Arial"/>
          <w:sz w:val="22"/>
          <w:szCs w:val="22"/>
          <w:lang w:val="de-DE"/>
        </w:rPr>
        <w:t>5</w:t>
      </w:r>
      <w:r w:rsidR="00F82EF3">
        <w:rPr>
          <w:rFonts w:ascii="Arial" w:hAnsi="Arial" w:cs="Arial"/>
          <w:sz w:val="22"/>
          <w:szCs w:val="22"/>
          <w:lang w:val="de-DE"/>
        </w:rPr>
        <w:t>.500.000</w:t>
      </w:r>
      <w:r>
        <w:rPr>
          <w:rFonts w:ascii="Arial" w:hAnsi="Arial" w:cs="Arial"/>
          <w:sz w:val="22"/>
          <w:szCs w:val="22"/>
          <w:lang w:val="de-DE"/>
        </w:rPr>
        <w:t xml:space="preserve">  vorgesehen.</w:t>
      </w:r>
    </w:p>
    <w:p w:rsidR="00E34492" w:rsidRPr="004D38A0" w:rsidRDefault="00E34492" w:rsidP="00E34492">
      <w:pPr>
        <w:jc w:val="both"/>
        <w:rPr>
          <w:rFonts w:ascii="Arial" w:hAnsi="Arial" w:cs="Arial"/>
          <w:sz w:val="22"/>
          <w:szCs w:val="22"/>
          <w:lang w:val="de-DE" w:eastAsia="en-US"/>
        </w:rPr>
      </w:pPr>
    </w:p>
    <w:p w:rsidR="00E34492" w:rsidRPr="004D38A0" w:rsidRDefault="00E34492" w:rsidP="00E34492">
      <w:pPr>
        <w:jc w:val="both"/>
        <w:rPr>
          <w:rFonts w:ascii="Arial" w:hAnsi="Arial" w:cs="Arial"/>
          <w:sz w:val="22"/>
          <w:szCs w:val="22"/>
          <w:lang w:val="de-DE" w:eastAsia="en-US"/>
        </w:rPr>
      </w:pPr>
    </w:p>
    <w:p w:rsidR="00E34492" w:rsidRPr="004D38A0" w:rsidRDefault="00E34492" w:rsidP="00E34492">
      <w:pPr>
        <w:jc w:val="both"/>
        <w:rPr>
          <w:rFonts w:ascii="Arial" w:hAnsi="Arial" w:cs="Arial"/>
          <w:b/>
          <w:bCs/>
          <w:sz w:val="22"/>
          <w:szCs w:val="22"/>
          <w:lang w:val="de-DE" w:eastAsia="en-US"/>
        </w:rPr>
      </w:pPr>
      <w:r w:rsidRPr="004D38A0">
        <w:rPr>
          <w:rFonts w:ascii="Arial" w:hAnsi="Arial" w:cs="Arial"/>
          <w:b/>
          <w:bCs/>
          <w:sz w:val="22"/>
          <w:szCs w:val="22"/>
          <w:lang w:val="de-DE" w:eastAsia="en-US"/>
        </w:rPr>
        <w:t>NEUER SITZ DES WOBI</w:t>
      </w:r>
    </w:p>
    <w:p w:rsidR="00E34492" w:rsidRPr="004D38A0" w:rsidRDefault="00E34492" w:rsidP="00E34492">
      <w:pPr>
        <w:jc w:val="both"/>
        <w:rPr>
          <w:rFonts w:ascii="Arial" w:hAnsi="Arial" w:cs="Arial"/>
          <w:bCs/>
          <w:sz w:val="22"/>
          <w:szCs w:val="22"/>
          <w:lang w:val="de-DE" w:eastAsia="en-US"/>
        </w:rPr>
      </w:pP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 xml:space="preserve">Im Jahre 2013 wurde die endgültige Entscheidung getroffen, den heutigen Institutssitz in der Mailandstraße zu verwenden. Am 8. Oktober des vorigen Jahres hat der Gemeindeausschuss von Bozen sein positives Gutachten zur Änderung der </w:t>
      </w:r>
      <w:proofErr w:type="spellStart"/>
      <w:r w:rsidRPr="004D38A0">
        <w:rPr>
          <w:rFonts w:ascii="Arial" w:hAnsi="Arial" w:cs="Arial"/>
          <w:sz w:val="22"/>
          <w:szCs w:val="22"/>
          <w:lang w:val="de-DE" w:eastAsia="en-US"/>
        </w:rPr>
        <w:t>urbanistischen</w:t>
      </w:r>
      <w:proofErr w:type="spellEnd"/>
      <w:r w:rsidRPr="004D38A0">
        <w:rPr>
          <w:rFonts w:ascii="Arial" w:hAnsi="Arial" w:cs="Arial"/>
          <w:sz w:val="22"/>
          <w:szCs w:val="22"/>
          <w:lang w:val="de-DE" w:eastAsia="en-US"/>
        </w:rPr>
        <w:t xml:space="preserve"> Zweckbestimmung der betroffenen Zone zum Bau des neuen Institutssitzes erteilt, </w:t>
      </w:r>
      <w:proofErr w:type="spellStart"/>
      <w:r w:rsidRPr="004D38A0">
        <w:rPr>
          <w:rFonts w:ascii="Arial" w:hAnsi="Arial" w:cs="Arial"/>
          <w:sz w:val="22"/>
          <w:szCs w:val="22"/>
          <w:lang w:val="de-DE" w:eastAsia="en-US"/>
        </w:rPr>
        <w:t>u.z.</w:t>
      </w:r>
      <w:proofErr w:type="spellEnd"/>
      <w:r w:rsidRPr="004D38A0">
        <w:rPr>
          <w:rFonts w:ascii="Arial" w:hAnsi="Arial" w:cs="Arial"/>
          <w:sz w:val="22"/>
          <w:szCs w:val="22"/>
          <w:lang w:val="de-DE" w:eastAsia="en-US"/>
        </w:rPr>
        <w:t xml:space="preserve"> von einer Wohnbauauffüllzone in eine Zone für öffentliche Einrichtungen.</w:t>
      </w:r>
      <w:r w:rsidR="00360CC2">
        <w:rPr>
          <w:rFonts w:ascii="Arial" w:hAnsi="Arial" w:cs="Arial"/>
          <w:sz w:val="22"/>
          <w:szCs w:val="22"/>
          <w:lang w:val="de-DE" w:eastAsia="en-US"/>
        </w:rPr>
        <w:t xml:space="preserve"> </w:t>
      </w:r>
      <w:r w:rsidRPr="004D38A0">
        <w:rPr>
          <w:rFonts w:ascii="Arial" w:hAnsi="Arial" w:cs="Arial"/>
          <w:sz w:val="22"/>
          <w:szCs w:val="22"/>
          <w:lang w:val="de-DE" w:eastAsia="en-US"/>
        </w:rPr>
        <w:t xml:space="preserve">Daraufhin wurde die Ausschreibung der Planung auf europäischer Ebene vorbereitet und im September 2014 wurde </w:t>
      </w:r>
      <w:proofErr w:type="spellStart"/>
      <w:r w:rsidRPr="004D38A0">
        <w:rPr>
          <w:rFonts w:ascii="Arial" w:hAnsi="Arial" w:cs="Arial"/>
          <w:sz w:val="22"/>
          <w:szCs w:val="22"/>
          <w:lang w:val="de-DE" w:eastAsia="en-US"/>
        </w:rPr>
        <w:t>Arch</w:t>
      </w:r>
      <w:proofErr w:type="spellEnd"/>
      <w:r w:rsidRPr="004D38A0">
        <w:rPr>
          <w:rFonts w:ascii="Arial" w:hAnsi="Arial" w:cs="Arial"/>
          <w:sz w:val="22"/>
          <w:szCs w:val="22"/>
          <w:lang w:val="de-DE" w:eastAsia="en-US"/>
        </w:rPr>
        <w:t xml:space="preserve">. Dan </w:t>
      </w:r>
      <w:proofErr w:type="spellStart"/>
      <w:r w:rsidRPr="004D38A0">
        <w:rPr>
          <w:rFonts w:ascii="Arial" w:hAnsi="Arial" w:cs="Arial"/>
          <w:sz w:val="22"/>
          <w:szCs w:val="22"/>
          <w:lang w:val="de-DE" w:eastAsia="en-US"/>
        </w:rPr>
        <w:t>Dorell</w:t>
      </w:r>
      <w:proofErr w:type="spellEnd"/>
      <w:r w:rsidRPr="004D38A0">
        <w:rPr>
          <w:rFonts w:ascii="Arial" w:hAnsi="Arial" w:cs="Arial"/>
          <w:sz w:val="22"/>
          <w:szCs w:val="22"/>
          <w:lang w:val="de-DE" w:eastAsia="en-US"/>
        </w:rPr>
        <w:t xml:space="preserve"> zum </w:t>
      </w:r>
      <w:proofErr w:type="spellStart"/>
      <w:r w:rsidRPr="004D38A0">
        <w:rPr>
          <w:rFonts w:ascii="Arial" w:hAnsi="Arial" w:cs="Arial"/>
          <w:sz w:val="22"/>
          <w:szCs w:val="22"/>
          <w:lang w:val="de-DE" w:eastAsia="en-US"/>
        </w:rPr>
        <w:t>Wettbwerbsgewinner</w:t>
      </w:r>
      <w:proofErr w:type="spellEnd"/>
      <w:r w:rsidRPr="004D38A0">
        <w:rPr>
          <w:rFonts w:ascii="Arial" w:hAnsi="Arial" w:cs="Arial"/>
          <w:sz w:val="22"/>
          <w:szCs w:val="22"/>
          <w:lang w:val="de-DE" w:eastAsia="en-US"/>
        </w:rPr>
        <w:t xml:space="preserve"> erklärt.</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Leider hat die Landesverwaltung aus Sparmaßnahmen beschlossen, dass der Bau des Institutssitzes nicht realisiert wird.</w:t>
      </w:r>
    </w:p>
    <w:p w:rsidR="00E34492" w:rsidRPr="004D38A0" w:rsidRDefault="00E34492" w:rsidP="00E3449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Man muss aber erwähnen, dass die Arbeitssituation i</w:t>
      </w:r>
      <w:r w:rsidR="00CC6865" w:rsidRPr="004D38A0">
        <w:rPr>
          <w:rFonts w:ascii="Arial" w:hAnsi="Arial" w:cs="Arial"/>
          <w:sz w:val="22"/>
          <w:szCs w:val="22"/>
          <w:lang w:val="de-DE" w:eastAsia="en-US"/>
        </w:rPr>
        <w:t>n den Sitzen</w:t>
      </w:r>
      <w:r w:rsidRPr="004D38A0">
        <w:rPr>
          <w:rFonts w:ascii="Arial" w:hAnsi="Arial" w:cs="Arial"/>
          <w:sz w:val="22"/>
          <w:szCs w:val="22"/>
          <w:lang w:val="de-DE" w:eastAsia="en-US"/>
        </w:rPr>
        <w:t xml:space="preserve"> in der Mailand</w:t>
      </w:r>
      <w:r w:rsidR="00360CC2">
        <w:rPr>
          <w:rFonts w:ascii="Arial" w:hAnsi="Arial" w:cs="Arial"/>
          <w:sz w:val="22"/>
          <w:szCs w:val="22"/>
          <w:lang w:val="de-DE" w:eastAsia="en-US"/>
        </w:rPr>
        <w:t>-</w:t>
      </w:r>
      <w:r w:rsidR="00CC6865" w:rsidRPr="004D38A0">
        <w:rPr>
          <w:rFonts w:ascii="Arial" w:hAnsi="Arial" w:cs="Arial"/>
          <w:sz w:val="22"/>
          <w:szCs w:val="22"/>
          <w:lang w:val="de-DE" w:eastAsia="en-US"/>
        </w:rPr>
        <w:t xml:space="preserve"> und </w:t>
      </w:r>
      <w:proofErr w:type="spellStart"/>
      <w:r w:rsidR="00CC6865" w:rsidRPr="004D38A0">
        <w:rPr>
          <w:rFonts w:ascii="Arial" w:hAnsi="Arial" w:cs="Arial"/>
          <w:sz w:val="22"/>
          <w:szCs w:val="22"/>
          <w:lang w:val="de-DE" w:eastAsia="en-US"/>
        </w:rPr>
        <w:t>Horazstraße</w:t>
      </w:r>
      <w:proofErr w:type="spellEnd"/>
      <w:r w:rsidR="00CC6865" w:rsidRPr="004D38A0">
        <w:rPr>
          <w:rFonts w:ascii="Arial" w:hAnsi="Arial" w:cs="Arial"/>
          <w:sz w:val="22"/>
          <w:szCs w:val="22"/>
          <w:lang w:val="de-DE" w:eastAsia="en-US"/>
        </w:rPr>
        <w:t xml:space="preserve"> </w:t>
      </w:r>
      <w:r w:rsidRPr="004D38A0">
        <w:rPr>
          <w:rFonts w:ascii="Arial" w:hAnsi="Arial" w:cs="Arial"/>
          <w:sz w:val="22"/>
          <w:szCs w:val="22"/>
          <w:lang w:val="de-DE" w:eastAsia="en-US"/>
        </w:rPr>
        <w:t>auf Grund eines schlechten Instandhaltungszustandes und mangelnder Funktionalität äußerst problematisch ist und dass in jedem Fall eine Sanierung des Gebäudes vorgenommen werden muss.</w:t>
      </w:r>
    </w:p>
    <w:p w:rsidR="00CC6865" w:rsidRPr="004D38A0" w:rsidRDefault="00CC6865" w:rsidP="00E34492">
      <w:pPr>
        <w:spacing w:line="360" w:lineRule="auto"/>
        <w:jc w:val="both"/>
        <w:rPr>
          <w:rFonts w:cs="Arial"/>
          <w:sz w:val="22"/>
          <w:szCs w:val="22"/>
          <w:lang w:val="de-DE" w:eastAsia="en-US"/>
        </w:rPr>
      </w:pPr>
      <w:r w:rsidRPr="004D38A0">
        <w:rPr>
          <w:rFonts w:ascii="Arial" w:hAnsi="Arial" w:cs="Arial"/>
          <w:sz w:val="22"/>
          <w:szCs w:val="22"/>
          <w:lang w:val="de-DE" w:eastAsia="en-US"/>
        </w:rPr>
        <w:t xml:space="preserve">Im Laufe des Jahres 2015 wird ein Vorprojekt </w:t>
      </w:r>
      <w:r w:rsidR="007777B7" w:rsidRPr="004D38A0">
        <w:rPr>
          <w:rFonts w:ascii="Arial" w:hAnsi="Arial" w:cs="Arial"/>
          <w:sz w:val="22"/>
          <w:szCs w:val="22"/>
          <w:lang w:val="de-DE" w:eastAsia="en-US"/>
        </w:rPr>
        <w:t>für</w:t>
      </w:r>
      <w:r w:rsidRPr="004D38A0">
        <w:rPr>
          <w:rFonts w:ascii="Arial" w:hAnsi="Arial" w:cs="Arial"/>
          <w:sz w:val="22"/>
          <w:szCs w:val="22"/>
          <w:lang w:val="de-DE" w:eastAsia="en-US"/>
        </w:rPr>
        <w:t xml:space="preserve"> </w:t>
      </w:r>
      <w:r w:rsidR="007777B7" w:rsidRPr="004D38A0">
        <w:rPr>
          <w:rFonts w:ascii="Arial" w:hAnsi="Arial" w:cs="Arial"/>
          <w:sz w:val="22"/>
          <w:szCs w:val="22"/>
          <w:lang w:val="de-DE" w:eastAsia="en-US"/>
        </w:rPr>
        <w:t xml:space="preserve">die </w:t>
      </w:r>
      <w:r w:rsidRPr="004D38A0">
        <w:rPr>
          <w:rFonts w:ascii="Arial" w:hAnsi="Arial" w:cs="Arial"/>
          <w:sz w:val="22"/>
          <w:szCs w:val="22"/>
          <w:lang w:val="de-DE" w:eastAsia="en-US"/>
        </w:rPr>
        <w:t>notwendigen Instandhaltungseingriffe erarbeitet.</w:t>
      </w:r>
    </w:p>
    <w:p w:rsidR="00E34492" w:rsidRPr="004D38A0" w:rsidRDefault="00E34492" w:rsidP="00E34492">
      <w:pPr>
        <w:jc w:val="both"/>
        <w:rPr>
          <w:rFonts w:ascii="Arial" w:hAnsi="Arial" w:cs="Arial"/>
          <w:bCs/>
          <w:sz w:val="22"/>
          <w:szCs w:val="22"/>
          <w:lang w:val="de-DE" w:eastAsia="en-US"/>
        </w:rPr>
      </w:pPr>
    </w:p>
    <w:p w:rsidR="008B303A" w:rsidRPr="004D38A0" w:rsidRDefault="008B303A" w:rsidP="00912C8B">
      <w:pPr>
        <w:pStyle w:val="Sottotitolo"/>
        <w:spacing w:line="240" w:lineRule="auto"/>
        <w:jc w:val="both"/>
        <w:rPr>
          <w:b w:val="0"/>
          <w:bCs w:val="0"/>
          <w:i w:val="0"/>
          <w:iCs w:val="0"/>
          <w:sz w:val="22"/>
          <w:szCs w:val="22"/>
        </w:rPr>
      </w:pPr>
    </w:p>
    <w:p w:rsidR="00D02DD8" w:rsidRPr="004D38A0" w:rsidRDefault="00D02DD8" w:rsidP="00D02DD8">
      <w:pPr>
        <w:jc w:val="both"/>
        <w:rPr>
          <w:rFonts w:ascii="Arial" w:hAnsi="Arial" w:cs="Arial"/>
          <w:b/>
          <w:sz w:val="22"/>
          <w:szCs w:val="22"/>
          <w:lang w:val="de-DE"/>
        </w:rPr>
      </w:pPr>
      <w:r w:rsidRPr="004D38A0">
        <w:rPr>
          <w:rFonts w:ascii="Arial" w:hAnsi="Arial" w:cs="Arial"/>
          <w:b/>
          <w:sz w:val="22"/>
          <w:szCs w:val="22"/>
          <w:lang w:val="de-DE"/>
        </w:rPr>
        <w:t>VERKAUF UND ANKAUF VON IMMOBILIEN</w:t>
      </w:r>
    </w:p>
    <w:p w:rsidR="00D02DD8" w:rsidRPr="004D38A0" w:rsidRDefault="00D02DD8" w:rsidP="00D02DD8">
      <w:pPr>
        <w:jc w:val="both"/>
        <w:rPr>
          <w:rFonts w:ascii="Arial" w:hAnsi="Arial" w:cs="Arial"/>
          <w:sz w:val="22"/>
          <w:szCs w:val="22"/>
          <w:lang w:val="de-DE"/>
        </w:rPr>
      </w:pPr>
    </w:p>
    <w:p w:rsidR="00D02DD8" w:rsidRPr="004D38A0" w:rsidRDefault="00D02DD8" w:rsidP="00D02DD8">
      <w:pPr>
        <w:spacing w:line="360" w:lineRule="auto"/>
        <w:jc w:val="both"/>
        <w:rPr>
          <w:rFonts w:ascii="Arial" w:hAnsi="Arial" w:cs="Arial"/>
          <w:sz w:val="22"/>
          <w:szCs w:val="22"/>
          <w:u w:val="single"/>
          <w:lang w:val="de-DE"/>
        </w:rPr>
      </w:pPr>
      <w:r w:rsidRPr="004D38A0">
        <w:rPr>
          <w:rFonts w:ascii="Arial" w:hAnsi="Arial" w:cs="Arial"/>
          <w:sz w:val="22"/>
          <w:szCs w:val="22"/>
          <w:u w:val="single"/>
          <w:lang w:val="de-DE"/>
        </w:rPr>
        <w:t>VERKAUF</w:t>
      </w:r>
    </w:p>
    <w:p w:rsidR="00C863F7" w:rsidRDefault="00D02DD8" w:rsidP="00D02DD8">
      <w:pPr>
        <w:spacing w:line="360" w:lineRule="auto"/>
        <w:jc w:val="both"/>
        <w:rPr>
          <w:rFonts w:ascii="Arial" w:hAnsi="Arial" w:cs="Arial"/>
          <w:sz w:val="22"/>
          <w:szCs w:val="22"/>
          <w:lang w:val="de-DE"/>
        </w:rPr>
      </w:pPr>
      <w:r w:rsidRPr="004D38A0">
        <w:rPr>
          <w:rFonts w:ascii="Arial" w:hAnsi="Arial" w:cs="Arial"/>
          <w:sz w:val="22"/>
          <w:szCs w:val="22"/>
          <w:lang w:val="de-DE"/>
        </w:rPr>
        <w:lastRenderedPageBreak/>
        <w:t xml:space="preserve">Für das </w:t>
      </w:r>
      <w:r w:rsidR="00360CC2">
        <w:rPr>
          <w:rFonts w:ascii="Arial" w:hAnsi="Arial" w:cs="Arial"/>
          <w:sz w:val="22"/>
          <w:szCs w:val="22"/>
          <w:lang w:val="de-DE"/>
        </w:rPr>
        <w:t xml:space="preserve">Jahr </w:t>
      </w:r>
      <w:r w:rsidRPr="004D38A0">
        <w:rPr>
          <w:rFonts w:ascii="Arial" w:hAnsi="Arial" w:cs="Arial"/>
          <w:sz w:val="22"/>
          <w:szCs w:val="22"/>
          <w:lang w:val="de-DE"/>
        </w:rPr>
        <w:t xml:space="preserve">2015 ist kein Verkauf von Wohnungen vorgesehen, da das entsprechende Verkaufsprogramm abgeschlossen wurde. </w:t>
      </w:r>
    </w:p>
    <w:p w:rsidR="00D02DD8" w:rsidRPr="004D38A0" w:rsidRDefault="00D02DD8" w:rsidP="00D02DD8">
      <w:pPr>
        <w:spacing w:line="360" w:lineRule="auto"/>
        <w:jc w:val="both"/>
        <w:rPr>
          <w:rFonts w:ascii="Arial" w:hAnsi="Arial" w:cs="Arial"/>
          <w:sz w:val="22"/>
          <w:szCs w:val="22"/>
          <w:lang w:val="de-DE"/>
        </w:rPr>
      </w:pPr>
      <w:r w:rsidRPr="004D38A0">
        <w:rPr>
          <w:rFonts w:ascii="Arial" w:hAnsi="Arial" w:cs="Arial"/>
          <w:sz w:val="22"/>
          <w:szCs w:val="22"/>
          <w:lang w:val="de-DE"/>
        </w:rPr>
        <w:t>Es ist hingegen der Verkauf folgender Liegenschaften geplant:</w:t>
      </w:r>
    </w:p>
    <w:p w:rsidR="00D02DD8" w:rsidRPr="004D38A0" w:rsidRDefault="00D02DD8" w:rsidP="00D02DD8">
      <w:pPr>
        <w:spacing w:line="360" w:lineRule="auto"/>
        <w:jc w:val="both"/>
        <w:rPr>
          <w:rFonts w:ascii="Arial" w:hAnsi="Arial" w:cs="Arial"/>
          <w:sz w:val="22"/>
          <w:szCs w:val="22"/>
          <w:lang w:val="de-DE"/>
        </w:rPr>
      </w:pPr>
      <w:r w:rsidRPr="004D38A0">
        <w:rPr>
          <w:rFonts w:ascii="Arial" w:hAnsi="Arial" w:cs="Arial"/>
          <w:sz w:val="22"/>
          <w:szCs w:val="22"/>
          <w:lang w:val="de-DE"/>
        </w:rPr>
        <w:t xml:space="preserve">- Verkauf eines Magazins (nutzbar auch als Autoabstellplatz) in Bozen, </w:t>
      </w:r>
      <w:proofErr w:type="spellStart"/>
      <w:r w:rsidRPr="004D38A0">
        <w:rPr>
          <w:rFonts w:ascii="Arial" w:hAnsi="Arial" w:cs="Arial"/>
          <w:sz w:val="22"/>
          <w:szCs w:val="22"/>
          <w:lang w:val="de-DE"/>
        </w:rPr>
        <w:t>Drususallee</w:t>
      </w:r>
      <w:proofErr w:type="spellEnd"/>
      <w:r w:rsidRPr="004D38A0">
        <w:rPr>
          <w:rFonts w:ascii="Arial" w:hAnsi="Arial" w:cs="Arial"/>
          <w:sz w:val="22"/>
          <w:szCs w:val="22"/>
          <w:lang w:val="de-DE"/>
        </w:rPr>
        <w:t xml:space="preserve"> 54, mittels öffentlicher Versteigerung mit einem Ausschreibungsbetrag von € 38.000;</w:t>
      </w:r>
    </w:p>
    <w:p w:rsidR="00D02DD8" w:rsidRPr="004D38A0" w:rsidRDefault="00D02DD8" w:rsidP="00D02DD8">
      <w:pPr>
        <w:spacing w:line="360" w:lineRule="auto"/>
        <w:jc w:val="both"/>
        <w:rPr>
          <w:rFonts w:ascii="Arial" w:hAnsi="Arial" w:cs="Arial"/>
          <w:bCs/>
          <w:iCs/>
          <w:sz w:val="22"/>
          <w:szCs w:val="22"/>
          <w:lang w:val="de-DE"/>
        </w:rPr>
      </w:pPr>
      <w:r w:rsidRPr="004D38A0">
        <w:rPr>
          <w:rFonts w:ascii="Arial" w:hAnsi="Arial" w:cs="Arial"/>
          <w:sz w:val="22"/>
          <w:szCs w:val="22"/>
          <w:lang w:val="de-DE"/>
        </w:rPr>
        <w:t xml:space="preserve">- Im 4. </w:t>
      </w:r>
      <w:proofErr w:type="spellStart"/>
      <w:r w:rsidRPr="004D38A0">
        <w:rPr>
          <w:rFonts w:ascii="Arial" w:hAnsi="Arial" w:cs="Arial"/>
          <w:sz w:val="22"/>
          <w:szCs w:val="22"/>
          <w:lang w:val="de-DE"/>
        </w:rPr>
        <w:t>Baulos</w:t>
      </w:r>
      <w:proofErr w:type="spellEnd"/>
      <w:r w:rsidRPr="004D38A0">
        <w:rPr>
          <w:rFonts w:ascii="Arial" w:hAnsi="Arial" w:cs="Arial"/>
          <w:sz w:val="22"/>
          <w:szCs w:val="22"/>
          <w:lang w:val="de-DE"/>
        </w:rPr>
        <w:t xml:space="preserve"> der EWZ „</w:t>
      </w:r>
      <w:proofErr w:type="spellStart"/>
      <w:r w:rsidRPr="004D38A0">
        <w:rPr>
          <w:rFonts w:ascii="Arial" w:hAnsi="Arial" w:cs="Arial"/>
          <w:sz w:val="22"/>
          <w:szCs w:val="22"/>
          <w:lang w:val="de-DE"/>
        </w:rPr>
        <w:t>semirurali</w:t>
      </w:r>
      <w:proofErr w:type="spellEnd"/>
      <w:r w:rsidRPr="004D38A0">
        <w:rPr>
          <w:rFonts w:ascii="Arial" w:hAnsi="Arial" w:cs="Arial"/>
          <w:sz w:val="22"/>
          <w:szCs w:val="22"/>
          <w:lang w:val="de-DE"/>
        </w:rPr>
        <w:t>“ muss eine Richtigstellung der Grenzen vorgenommen werden, um die tatsächliche Situation der rechtlichen anzupassen. E</w:t>
      </w:r>
      <w:r w:rsidRPr="004D38A0">
        <w:rPr>
          <w:rFonts w:ascii="Arial" w:hAnsi="Arial" w:cs="Arial"/>
          <w:bCs/>
          <w:iCs/>
          <w:sz w:val="22"/>
          <w:szCs w:val="22"/>
          <w:lang w:val="de-DE"/>
        </w:rPr>
        <w:t>s handelt</w:t>
      </w:r>
      <w:r w:rsidRPr="004D38A0">
        <w:rPr>
          <w:rFonts w:ascii="Arial" w:hAnsi="Arial" w:cs="Arial"/>
          <w:sz w:val="22"/>
          <w:szCs w:val="22"/>
          <w:lang w:val="de-DE"/>
        </w:rPr>
        <w:t xml:space="preserve"> </w:t>
      </w:r>
      <w:r w:rsidRPr="004D38A0">
        <w:rPr>
          <w:rFonts w:ascii="Arial" w:hAnsi="Arial" w:cs="Arial"/>
          <w:bCs/>
          <w:iCs/>
          <w:sz w:val="22"/>
          <w:szCs w:val="22"/>
          <w:lang w:val="de-DE"/>
        </w:rPr>
        <w:t xml:space="preserve">sich um Flächen öffentlichen Interesses, wie Gehsteige und Parkplätze im Ausmaß von </w:t>
      </w:r>
      <w:r w:rsidRPr="004D38A0">
        <w:rPr>
          <w:rFonts w:ascii="Arial" w:hAnsi="Arial" w:cs="Arial"/>
          <w:sz w:val="22"/>
          <w:szCs w:val="22"/>
          <w:lang w:val="de-DE"/>
        </w:rPr>
        <w:t xml:space="preserve">ungefähr 3.000 </w:t>
      </w:r>
      <w:r w:rsidRPr="004D38A0">
        <w:rPr>
          <w:rFonts w:ascii="Arial" w:hAnsi="Arial" w:cs="Arial"/>
          <w:bCs/>
          <w:iCs/>
          <w:sz w:val="22"/>
          <w:szCs w:val="22"/>
          <w:lang w:val="de-DE"/>
        </w:rPr>
        <w:t>m², die zu einem Einheitspreis von € 400 je Quadratmeter der Gemeinde Bozen abgetreten werden. Dieser Preis wurde im Einvernehmen für Abtretungen dieser Art in der EWZ „</w:t>
      </w:r>
      <w:proofErr w:type="spellStart"/>
      <w:r w:rsidRPr="004D38A0">
        <w:rPr>
          <w:rFonts w:ascii="Arial" w:hAnsi="Arial" w:cs="Arial"/>
          <w:bCs/>
          <w:iCs/>
          <w:sz w:val="22"/>
          <w:szCs w:val="22"/>
          <w:lang w:val="de-DE"/>
        </w:rPr>
        <w:t>semirurali</w:t>
      </w:r>
      <w:proofErr w:type="spellEnd"/>
      <w:r w:rsidRPr="004D38A0">
        <w:rPr>
          <w:rFonts w:ascii="Arial" w:hAnsi="Arial" w:cs="Arial"/>
          <w:bCs/>
          <w:iCs/>
          <w:sz w:val="22"/>
          <w:szCs w:val="22"/>
          <w:lang w:val="de-DE"/>
        </w:rPr>
        <w:t>“ vereinbart.</w:t>
      </w:r>
    </w:p>
    <w:p w:rsidR="00D02DD8" w:rsidRPr="004D38A0" w:rsidRDefault="00D02DD8" w:rsidP="00D02DD8">
      <w:pPr>
        <w:jc w:val="both"/>
        <w:rPr>
          <w:rFonts w:ascii="Arial" w:hAnsi="Arial" w:cs="Arial"/>
          <w:sz w:val="22"/>
          <w:szCs w:val="22"/>
          <w:lang w:val="de-DE"/>
        </w:rPr>
      </w:pPr>
    </w:p>
    <w:p w:rsidR="00D02DD8" w:rsidRPr="004D38A0" w:rsidRDefault="00D02DD8" w:rsidP="00D02DD8">
      <w:pPr>
        <w:spacing w:line="360" w:lineRule="auto"/>
        <w:jc w:val="both"/>
        <w:rPr>
          <w:rFonts w:ascii="Arial" w:hAnsi="Arial" w:cs="Arial"/>
          <w:sz w:val="22"/>
          <w:szCs w:val="22"/>
          <w:u w:val="single"/>
          <w:lang w:val="de-DE"/>
        </w:rPr>
      </w:pPr>
      <w:r w:rsidRPr="004D38A0">
        <w:rPr>
          <w:rFonts w:ascii="Arial" w:hAnsi="Arial" w:cs="Arial"/>
          <w:sz w:val="22"/>
          <w:szCs w:val="22"/>
          <w:u w:val="single"/>
          <w:lang w:val="de-DE"/>
        </w:rPr>
        <w:t>ANKAUF</w:t>
      </w:r>
    </w:p>
    <w:p w:rsidR="00D02DD8" w:rsidRPr="004D38A0" w:rsidRDefault="00D02DD8" w:rsidP="00D02DD8">
      <w:pPr>
        <w:spacing w:line="360" w:lineRule="auto"/>
        <w:jc w:val="both"/>
        <w:rPr>
          <w:rFonts w:ascii="Arial" w:hAnsi="Arial" w:cs="Arial"/>
          <w:sz w:val="22"/>
          <w:szCs w:val="22"/>
          <w:lang w:val="de-DE"/>
        </w:rPr>
      </w:pPr>
      <w:r w:rsidRPr="004D38A0">
        <w:rPr>
          <w:rFonts w:ascii="Arial" w:hAnsi="Arial" w:cs="Arial"/>
          <w:sz w:val="22"/>
          <w:szCs w:val="22"/>
          <w:lang w:val="de-DE"/>
        </w:rPr>
        <w:t xml:space="preserve">Für das Jahr 2015 ist der Ankauf von 6 Wohnungen in </w:t>
      </w:r>
      <w:proofErr w:type="spellStart"/>
      <w:r w:rsidRPr="004D38A0">
        <w:rPr>
          <w:rFonts w:ascii="Arial" w:hAnsi="Arial" w:cs="Arial"/>
          <w:sz w:val="22"/>
          <w:szCs w:val="22"/>
          <w:lang w:val="de-DE"/>
        </w:rPr>
        <w:t>Laas</w:t>
      </w:r>
      <w:proofErr w:type="spellEnd"/>
      <w:r w:rsidRPr="004D38A0">
        <w:rPr>
          <w:rFonts w:ascii="Arial" w:hAnsi="Arial" w:cs="Arial"/>
          <w:sz w:val="22"/>
          <w:szCs w:val="22"/>
          <w:lang w:val="de-DE"/>
        </w:rPr>
        <w:t xml:space="preserve"> vorgesehen (siehe Punkt Durchführung Bauprogramme des vorliegenden Berichtes). </w:t>
      </w:r>
    </w:p>
    <w:p w:rsidR="00007275" w:rsidRPr="004D38A0" w:rsidRDefault="00007275">
      <w:pPr>
        <w:pStyle w:val="Sottotitolo"/>
        <w:spacing w:line="240" w:lineRule="auto"/>
        <w:jc w:val="both"/>
        <w:rPr>
          <w:b w:val="0"/>
          <w:bCs w:val="0"/>
          <w:i w:val="0"/>
          <w:iCs w:val="0"/>
          <w:sz w:val="22"/>
          <w:szCs w:val="22"/>
        </w:rPr>
      </w:pPr>
    </w:p>
    <w:p w:rsidR="00007275" w:rsidRPr="004D38A0" w:rsidRDefault="00007275">
      <w:pPr>
        <w:pStyle w:val="Sottotitolo"/>
        <w:spacing w:line="240" w:lineRule="auto"/>
        <w:jc w:val="both"/>
        <w:rPr>
          <w:b w:val="0"/>
          <w:bCs w:val="0"/>
          <w:i w:val="0"/>
          <w:iCs w:val="0"/>
          <w:sz w:val="22"/>
          <w:szCs w:val="22"/>
        </w:rPr>
      </w:pPr>
    </w:p>
    <w:p w:rsidR="00181202" w:rsidRPr="004D38A0" w:rsidRDefault="00181202" w:rsidP="00181202">
      <w:pPr>
        <w:rPr>
          <w:rFonts w:ascii="Arial" w:hAnsi="Arial" w:cs="Arial"/>
          <w:b/>
          <w:bCs/>
          <w:sz w:val="22"/>
          <w:szCs w:val="22"/>
          <w:lang w:val="de-DE" w:eastAsia="en-US"/>
        </w:rPr>
      </w:pPr>
      <w:r w:rsidRPr="004D38A0">
        <w:rPr>
          <w:rFonts w:ascii="Arial" w:hAnsi="Arial" w:cs="Arial"/>
          <w:b/>
          <w:bCs/>
          <w:sz w:val="22"/>
          <w:szCs w:val="22"/>
          <w:lang w:val="de-DE" w:eastAsia="en-US"/>
        </w:rPr>
        <w:t>MIETEINNAHMEN</w:t>
      </w:r>
    </w:p>
    <w:p w:rsidR="00181202" w:rsidRPr="004D38A0" w:rsidRDefault="00181202" w:rsidP="00181202">
      <w:pPr>
        <w:rPr>
          <w:rFonts w:ascii="Arial" w:hAnsi="Arial" w:cs="Arial"/>
          <w:sz w:val="22"/>
          <w:szCs w:val="22"/>
          <w:lang w:val="de-DE" w:eastAsia="en-US"/>
        </w:rPr>
      </w:pPr>
    </w:p>
    <w:p w:rsidR="00181202" w:rsidRPr="004D38A0" w:rsidRDefault="00181202" w:rsidP="00181202">
      <w:pPr>
        <w:spacing w:line="360" w:lineRule="auto"/>
        <w:jc w:val="both"/>
        <w:rPr>
          <w:rFonts w:ascii="Arial" w:hAnsi="Arial" w:cs="Arial"/>
          <w:sz w:val="22"/>
          <w:szCs w:val="22"/>
          <w:lang w:val="de-DE" w:eastAsia="en-US"/>
        </w:rPr>
      </w:pPr>
      <w:r w:rsidRPr="004D38A0">
        <w:rPr>
          <w:rFonts w:ascii="Arial" w:hAnsi="Arial" w:cs="Arial"/>
          <w:sz w:val="22"/>
          <w:szCs w:val="22"/>
          <w:lang w:val="de-DE" w:eastAsia="en-US"/>
        </w:rPr>
        <w:t>Im Jahre 201</w:t>
      </w:r>
      <w:r w:rsidR="00BF0B6A">
        <w:rPr>
          <w:rFonts w:ascii="Arial" w:hAnsi="Arial" w:cs="Arial"/>
          <w:sz w:val="22"/>
          <w:szCs w:val="22"/>
          <w:lang w:val="de-DE" w:eastAsia="en-US"/>
        </w:rPr>
        <w:t>5</w:t>
      </w:r>
      <w:r w:rsidRPr="004D38A0">
        <w:rPr>
          <w:rFonts w:ascii="Arial" w:hAnsi="Arial" w:cs="Arial"/>
          <w:sz w:val="22"/>
          <w:szCs w:val="22"/>
          <w:lang w:val="de-DE" w:eastAsia="en-US"/>
        </w:rPr>
        <w:t xml:space="preserve"> sind Mieteinnahmen von insgesamt € 35.814.000 vorgesehen, davon betreffen € 30.539.000 die Mieten für Wohnungen und sonstige Liegenschaften des Institutes, € 472.000 ergeben sich aus der Vermietung an den Mittelstand, € 295.000 aus den Mieteinnahmen von Wohnungen, die von Dritten angemietet wurden und € 1.747.000 aus den Mieteinnahmen der Arbeiterwohnheime. Aus der Vermietung von Geschäften und von anderen Investitionsgütern wird das Institut Erträge über € 2.756.000 erzielen.</w:t>
      </w:r>
    </w:p>
    <w:p w:rsidR="00876CF7" w:rsidRPr="004D38A0" w:rsidRDefault="00876CF7">
      <w:pPr>
        <w:pStyle w:val="Sottotitolo"/>
        <w:spacing w:line="240" w:lineRule="auto"/>
        <w:rPr>
          <w:b w:val="0"/>
          <w:bCs w:val="0"/>
          <w:i w:val="0"/>
          <w:iCs w:val="0"/>
          <w:sz w:val="22"/>
          <w:szCs w:val="22"/>
        </w:rPr>
      </w:pPr>
    </w:p>
    <w:p w:rsidR="00876CF7" w:rsidRPr="004D38A0" w:rsidRDefault="00876CF7">
      <w:pPr>
        <w:pStyle w:val="Sottotitolo"/>
        <w:spacing w:line="240" w:lineRule="auto"/>
        <w:rPr>
          <w:b w:val="0"/>
          <w:bCs w:val="0"/>
          <w:i w:val="0"/>
          <w:iCs w:val="0"/>
          <w:sz w:val="22"/>
          <w:szCs w:val="22"/>
        </w:rPr>
      </w:pPr>
    </w:p>
    <w:p w:rsidR="00004429" w:rsidRPr="004D38A0" w:rsidRDefault="00004429" w:rsidP="00004429">
      <w:pPr>
        <w:rPr>
          <w:rFonts w:ascii="Arial" w:hAnsi="Arial" w:cs="Arial"/>
          <w:b/>
          <w:bCs/>
          <w:sz w:val="22"/>
          <w:szCs w:val="22"/>
          <w:lang w:val="de-DE"/>
        </w:rPr>
      </w:pPr>
      <w:r w:rsidRPr="004D38A0">
        <w:rPr>
          <w:rFonts w:ascii="Arial" w:hAnsi="Arial" w:cs="Arial"/>
          <w:b/>
          <w:bCs/>
          <w:sz w:val="22"/>
          <w:szCs w:val="22"/>
          <w:lang w:val="de-DE"/>
        </w:rPr>
        <w:t>SÄUMIGKEIT DER MIETER</w:t>
      </w:r>
    </w:p>
    <w:p w:rsidR="00004429" w:rsidRPr="004D38A0" w:rsidRDefault="00004429" w:rsidP="00004429">
      <w:pPr>
        <w:rPr>
          <w:rFonts w:ascii="Arial" w:hAnsi="Arial" w:cs="Arial"/>
          <w:sz w:val="22"/>
          <w:szCs w:val="22"/>
          <w:lang w:val="de-DE"/>
        </w:rPr>
      </w:pPr>
    </w:p>
    <w:p w:rsidR="004A41F8" w:rsidRDefault="00004429" w:rsidP="00004429">
      <w:pPr>
        <w:spacing w:line="360" w:lineRule="auto"/>
        <w:jc w:val="both"/>
        <w:rPr>
          <w:rFonts w:ascii="Arial" w:hAnsi="Arial" w:cs="Arial"/>
          <w:sz w:val="22"/>
          <w:szCs w:val="22"/>
          <w:lang w:val="de-DE"/>
        </w:rPr>
      </w:pPr>
      <w:r w:rsidRPr="004D38A0">
        <w:rPr>
          <w:rFonts w:ascii="Arial" w:hAnsi="Arial" w:cs="Arial"/>
          <w:sz w:val="22"/>
          <w:szCs w:val="22"/>
          <w:lang w:val="de-DE"/>
        </w:rPr>
        <w:t xml:space="preserve">Im Laufe des Jahres ist ein leichter Rückgang der Rückstände der Mieter, die eine Wohnung des Institutes besetzen </w:t>
      </w:r>
      <w:r w:rsidR="004A41F8">
        <w:rPr>
          <w:rFonts w:ascii="Arial" w:hAnsi="Arial" w:cs="Arial"/>
          <w:sz w:val="22"/>
          <w:szCs w:val="22"/>
          <w:lang w:val="de-DE"/>
        </w:rPr>
        <w:t>z</w:t>
      </w:r>
      <w:r w:rsidRPr="004D38A0">
        <w:rPr>
          <w:rFonts w:ascii="Arial" w:hAnsi="Arial" w:cs="Arial"/>
          <w:sz w:val="22"/>
          <w:szCs w:val="22"/>
          <w:lang w:val="de-DE"/>
        </w:rPr>
        <w:t xml:space="preserve">u verzeichnen, während bei den Mietern, die die Institutswohnungen </w:t>
      </w:r>
      <w:r w:rsidR="004A41F8">
        <w:rPr>
          <w:rFonts w:ascii="Arial" w:hAnsi="Arial" w:cs="Arial"/>
          <w:sz w:val="22"/>
          <w:szCs w:val="22"/>
          <w:lang w:val="de-DE"/>
        </w:rPr>
        <w:t xml:space="preserve">wegen Kündigung </w:t>
      </w:r>
      <w:r w:rsidRPr="004D38A0">
        <w:rPr>
          <w:rFonts w:ascii="Arial" w:hAnsi="Arial" w:cs="Arial"/>
          <w:sz w:val="22"/>
          <w:szCs w:val="22"/>
          <w:lang w:val="de-DE"/>
        </w:rPr>
        <w:t>verlassen haben</w:t>
      </w:r>
      <w:r w:rsidR="004A41F8">
        <w:rPr>
          <w:rFonts w:ascii="Arial" w:hAnsi="Arial" w:cs="Arial"/>
          <w:sz w:val="22"/>
          <w:szCs w:val="22"/>
          <w:lang w:val="de-DE"/>
        </w:rPr>
        <w:t>,</w:t>
      </w:r>
      <w:r w:rsidRPr="004D38A0">
        <w:rPr>
          <w:rFonts w:ascii="Arial" w:hAnsi="Arial" w:cs="Arial"/>
          <w:sz w:val="22"/>
          <w:szCs w:val="22"/>
          <w:lang w:val="de-DE"/>
        </w:rPr>
        <w:t xml:space="preserve"> ein Anstieg zu verzeichnen ist. </w:t>
      </w:r>
    </w:p>
    <w:p w:rsidR="00004429" w:rsidRDefault="004A41F8" w:rsidP="00004429">
      <w:pPr>
        <w:spacing w:line="360" w:lineRule="auto"/>
        <w:jc w:val="both"/>
        <w:rPr>
          <w:rFonts w:ascii="Arial" w:hAnsi="Arial" w:cs="Arial"/>
          <w:sz w:val="22"/>
          <w:szCs w:val="22"/>
          <w:lang w:val="de-DE"/>
        </w:rPr>
      </w:pPr>
      <w:r w:rsidRPr="004D38A0">
        <w:rPr>
          <w:rFonts w:ascii="Arial" w:hAnsi="Arial" w:cs="Arial"/>
          <w:sz w:val="22"/>
          <w:szCs w:val="22"/>
          <w:lang w:val="de-DE"/>
        </w:rPr>
        <w:t>Bis zum 31. Oktober wurden 63 Mahndekrete und 102 Leistungsaufforderungen zugestellt und es wurden Zwangsräumungen von 6 Wohnungen, von 1 Garage und 23 Betten in Arbeiterwohnheimen durchgeführt.</w:t>
      </w:r>
      <w:r>
        <w:rPr>
          <w:rFonts w:ascii="Arial" w:hAnsi="Arial" w:cs="Arial"/>
          <w:sz w:val="22"/>
          <w:szCs w:val="22"/>
          <w:lang w:val="de-DE"/>
        </w:rPr>
        <w:t xml:space="preserve"> </w:t>
      </w:r>
      <w:r w:rsidR="00004429" w:rsidRPr="004D38A0">
        <w:rPr>
          <w:rFonts w:ascii="Arial" w:hAnsi="Arial" w:cs="Arial"/>
          <w:sz w:val="22"/>
          <w:szCs w:val="22"/>
          <w:lang w:val="de-DE"/>
        </w:rPr>
        <w:t xml:space="preserve">Die Einbringung der Mietforderungen wird direkt vom Institut vorgenommen, während die Forderungen gegenüber den ehemaligen Mietern mittels Zwangseintreibung durch </w:t>
      </w:r>
      <w:proofErr w:type="spellStart"/>
      <w:r w:rsidR="00004429" w:rsidRPr="004D38A0">
        <w:rPr>
          <w:rFonts w:ascii="Arial" w:hAnsi="Arial" w:cs="Arial"/>
          <w:sz w:val="22"/>
          <w:szCs w:val="22"/>
          <w:lang w:val="de-DE"/>
        </w:rPr>
        <w:t>Equitalia</w:t>
      </w:r>
      <w:proofErr w:type="spellEnd"/>
      <w:r w:rsidR="00004429" w:rsidRPr="004D38A0">
        <w:rPr>
          <w:rFonts w:ascii="Arial" w:hAnsi="Arial" w:cs="Arial"/>
          <w:sz w:val="22"/>
          <w:szCs w:val="22"/>
          <w:lang w:val="de-DE"/>
        </w:rPr>
        <w:t xml:space="preserve"> erfolgen.</w:t>
      </w:r>
    </w:p>
    <w:p w:rsidR="004A41F8" w:rsidRPr="004D38A0" w:rsidRDefault="007B151B" w:rsidP="00004429">
      <w:pPr>
        <w:spacing w:line="360" w:lineRule="auto"/>
        <w:jc w:val="both"/>
        <w:rPr>
          <w:rFonts w:ascii="Arial" w:hAnsi="Arial" w:cs="Arial"/>
          <w:sz w:val="22"/>
          <w:szCs w:val="22"/>
          <w:lang w:val="de-DE"/>
        </w:rPr>
      </w:pPr>
      <w:r>
        <w:rPr>
          <w:rFonts w:ascii="Arial" w:hAnsi="Arial" w:cs="Arial"/>
          <w:sz w:val="22"/>
          <w:szCs w:val="22"/>
          <w:lang w:val="de-DE"/>
        </w:rPr>
        <w:t xml:space="preserve">Auch für 2015 wird das Institut alle verfügbaren Mittel einsetzen, um die Mietrückstände zu bekämpfen und die bereits bestehenden Rückstände der Vorjahre einzufordern. </w:t>
      </w:r>
      <w:r w:rsidR="00D32417">
        <w:rPr>
          <w:rFonts w:ascii="Arial" w:hAnsi="Arial" w:cs="Arial"/>
          <w:sz w:val="22"/>
          <w:szCs w:val="22"/>
          <w:lang w:val="de-DE"/>
        </w:rPr>
        <w:t xml:space="preserve">Besondere </w:t>
      </w:r>
      <w:r w:rsidR="00D32417">
        <w:rPr>
          <w:rFonts w:ascii="Arial" w:hAnsi="Arial" w:cs="Arial"/>
          <w:sz w:val="22"/>
          <w:szCs w:val="22"/>
          <w:lang w:val="de-DE"/>
        </w:rPr>
        <w:lastRenderedPageBreak/>
        <w:t>Aufmerksamkeit wird der Einbringung der Mietrückstände in Bezug auf jene Mieter mit einem noch laufenden Vertrag durch Gewährung von Ratenzahlung gewidmet.</w:t>
      </w:r>
    </w:p>
    <w:p w:rsidR="00876CF7" w:rsidRPr="004D38A0" w:rsidRDefault="00876CF7">
      <w:pPr>
        <w:pStyle w:val="Sottotitolo"/>
        <w:spacing w:line="240" w:lineRule="auto"/>
        <w:rPr>
          <w:b w:val="0"/>
          <w:bCs w:val="0"/>
          <w:i w:val="0"/>
          <w:iCs w:val="0"/>
          <w:sz w:val="22"/>
          <w:szCs w:val="22"/>
        </w:rPr>
      </w:pPr>
    </w:p>
    <w:p w:rsidR="00876CF7" w:rsidRPr="004D38A0" w:rsidRDefault="00876CF7">
      <w:pPr>
        <w:pStyle w:val="Sottotitolo"/>
        <w:spacing w:line="240" w:lineRule="auto"/>
        <w:rPr>
          <w:b w:val="0"/>
          <w:bCs w:val="0"/>
          <w:i w:val="0"/>
          <w:iCs w:val="0"/>
          <w:sz w:val="22"/>
          <w:szCs w:val="22"/>
        </w:rPr>
      </w:pPr>
    </w:p>
    <w:p w:rsidR="00781416" w:rsidRPr="004D38A0" w:rsidRDefault="00781416" w:rsidP="00781416">
      <w:pPr>
        <w:rPr>
          <w:rFonts w:ascii="Arial" w:hAnsi="Arial" w:cs="Arial"/>
          <w:b/>
          <w:bCs/>
          <w:sz w:val="22"/>
          <w:szCs w:val="22"/>
          <w:lang w:val="de-DE"/>
        </w:rPr>
      </w:pPr>
      <w:r w:rsidRPr="004D38A0">
        <w:rPr>
          <w:rFonts w:ascii="Arial" w:hAnsi="Arial" w:cs="Arial"/>
          <w:b/>
          <w:bCs/>
          <w:sz w:val="22"/>
          <w:szCs w:val="22"/>
          <w:lang w:val="de-DE"/>
        </w:rPr>
        <w:t>NEUANSUCHEN UM ZUWEISUNG EINER INSTITUTSWOHNUNG</w:t>
      </w:r>
    </w:p>
    <w:p w:rsidR="00781416" w:rsidRPr="004D38A0" w:rsidRDefault="00781416" w:rsidP="00781416">
      <w:pPr>
        <w:rPr>
          <w:rFonts w:ascii="Arial" w:hAnsi="Arial" w:cs="Arial"/>
          <w:sz w:val="22"/>
          <w:szCs w:val="22"/>
          <w:lang w:val="de-DE"/>
        </w:rPr>
      </w:pPr>
    </w:p>
    <w:p w:rsidR="00AD1800" w:rsidRDefault="00781416" w:rsidP="00781416">
      <w:pPr>
        <w:autoSpaceDE w:val="0"/>
        <w:autoSpaceDN w:val="0"/>
        <w:adjustRightInd w:val="0"/>
        <w:spacing w:line="360" w:lineRule="auto"/>
        <w:jc w:val="both"/>
        <w:rPr>
          <w:rFonts w:ascii="Arial" w:hAnsi="Arial" w:cs="Arial"/>
          <w:sz w:val="22"/>
          <w:szCs w:val="22"/>
          <w:lang w:val="de-DE"/>
        </w:rPr>
      </w:pPr>
      <w:r w:rsidRPr="004D38A0">
        <w:rPr>
          <w:rFonts w:ascii="Arial" w:hAnsi="Arial" w:cs="Arial"/>
          <w:sz w:val="22"/>
          <w:szCs w:val="22"/>
          <w:lang w:val="de-DE"/>
        </w:rPr>
        <w:t xml:space="preserve">Bis heute sind </w:t>
      </w:r>
      <w:r w:rsidR="00AD1800">
        <w:rPr>
          <w:rFonts w:ascii="Arial" w:hAnsi="Arial" w:cs="Arial"/>
          <w:sz w:val="22"/>
          <w:szCs w:val="22"/>
          <w:lang w:val="de-DE"/>
        </w:rPr>
        <w:t>4</w:t>
      </w:r>
      <w:r w:rsidRPr="004D38A0">
        <w:rPr>
          <w:rFonts w:ascii="Arial" w:hAnsi="Arial" w:cs="Arial"/>
          <w:sz w:val="22"/>
          <w:szCs w:val="22"/>
          <w:lang w:val="de-DE"/>
        </w:rPr>
        <w:t>.</w:t>
      </w:r>
      <w:r w:rsidR="00AD1800">
        <w:rPr>
          <w:rFonts w:ascii="Arial" w:hAnsi="Arial" w:cs="Arial"/>
          <w:sz w:val="22"/>
          <w:szCs w:val="22"/>
          <w:lang w:val="de-DE"/>
        </w:rPr>
        <w:t>430</w:t>
      </w:r>
      <w:r w:rsidRPr="004D38A0">
        <w:rPr>
          <w:rFonts w:ascii="Arial" w:hAnsi="Arial" w:cs="Arial"/>
          <w:sz w:val="22"/>
          <w:szCs w:val="22"/>
          <w:lang w:val="de-DE"/>
        </w:rPr>
        <w:t xml:space="preserve"> Gesuche eingereicht worden, es fehlen aber noch die Gesuche der Gemeinden. </w:t>
      </w:r>
    </w:p>
    <w:p w:rsidR="00781416" w:rsidRPr="004D38A0" w:rsidRDefault="00781416" w:rsidP="00781416">
      <w:pPr>
        <w:autoSpaceDE w:val="0"/>
        <w:autoSpaceDN w:val="0"/>
        <w:adjustRightInd w:val="0"/>
        <w:spacing w:line="360" w:lineRule="auto"/>
        <w:jc w:val="both"/>
        <w:rPr>
          <w:rFonts w:ascii="Arial" w:hAnsi="Arial" w:cs="Arial"/>
          <w:sz w:val="22"/>
          <w:szCs w:val="22"/>
          <w:lang w:val="de-DE"/>
        </w:rPr>
      </w:pPr>
      <w:r w:rsidRPr="004D38A0">
        <w:rPr>
          <w:rFonts w:ascii="Arial" w:hAnsi="Arial" w:cs="Arial"/>
          <w:sz w:val="22"/>
          <w:szCs w:val="22"/>
          <w:lang w:val="de-DE"/>
        </w:rPr>
        <w:t>Im Jahr 2013 wurden insgesamt 5.084 Gesuche eingereicht. Die Anzahl der Gesuche bleibt</w:t>
      </w:r>
      <w:r w:rsidR="00AD1800">
        <w:rPr>
          <w:rFonts w:ascii="Arial" w:hAnsi="Arial" w:cs="Arial"/>
          <w:sz w:val="22"/>
          <w:szCs w:val="22"/>
          <w:lang w:val="de-DE"/>
        </w:rPr>
        <w:t xml:space="preserve"> auch für das Jahr 2014</w:t>
      </w:r>
      <w:r w:rsidRPr="004D38A0">
        <w:rPr>
          <w:rFonts w:ascii="Arial" w:hAnsi="Arial" w:cs="Arial"/>
          <w:sz w:val="22"/>
          <w:szCs w:val="22"/>
          <w:lang w:val="de-DE"/>
        </w:rPr>
        <w:t xml:space="preserve"> voraussichtlich gleich.</w:t>
      </w:r>
    </w:p>
    <w:p w:rsidR="00781416" w:rsidRPr="004D38A0" w:rsidRDefault="00781416" w:rsidP="00781416">
      <w:pPr>
        <w:autoSpaceDE w:val="0"/>
        <w:autoSpaceDN w:val="0"/>
        <w:adjustRightInd w:val="0"/>
        <w:spacing w:line="360" w:lineRule="auto"/>
        <w:jc w:val="both"/>
        <w:rPr>
          <w:rFonts w:ascii="Arial" w:hAnsi="Arial" w:cs="Arial"/>
          <w:sz w:val="22"/>
          <w:szCs w:val="22"/>
          <w:lang w:val="de-DE"/>
        </w:rPr>
      </w:pPr>
      <w:r w:rsidRPr="004D38A0">
        <w:rPr>
          <w:rFonts w:ascii="Arial" w:hAnsi="Arial" w:cs="Arial"/>
          <w:sz w:val="22"/>
          <w:szCs w:val="22"/>
          <w:lang w:val="de-DE"/>
        </w:rPr>
        <w:t>Die Überprüfung der Gesuche und die Erstellung der neuen Rangordnungen wird im Juni 2015 abgeschlossen sein.</w:t>
      </w:r>
    </w:p>
    <w:p w:rsidR="00876CF7" w:rsidRPr="004D38A0" w:rsidRDefault="00876CF7">
      <w:pPr>
        <w:pStyle w:val="Corpodeltesto2"/>
        <w:spacing w:line="240" w:lineRule="auto"/>
        <w:rPr>
          <w:sz w:val="22"/>
          <w:szCs w:val="22"/>
        </w:rPr>
      </w:pPr>
    </w:p>
    <w:p w:rsidR="00876CF7" w:rsidRPr="004D38A0" w:rsidRDefault="00876CF7">
      <w:pPr>
        <w:pStyle w:val="Corpodeltesto2"/>
        <w:spacing w:line="240" w:lineRule="auto"/>
        <w:rPr>
          <w:sz w:val="22"/>
          <w:szCs w:val="22"/>
        </w:rPr>
      </w:pPr>
    </w:p>
    <w:p w:rsidR="00917D7F" w:rsidRPr="004D38A0" w:rsidRDefault="00917D7F" w:rsidP="00917D7F">
      <w:pPr>
        <w:tabs>
          <w:tab w:val="center" w:pos="4536"/>
          <w:tab w:val="right" w:pos="9072"/>
        </w:tabs>
        <w:jc w:val="both"/>
        <w:outlineLvl w:val="0"/>
        <w:rPr>
          <w:rFonts w:ascii="Arial" w:hAnsi="Arial" w:cs="Arial"/>
          <w:b/>
          <w:bCs/>
          <w:sz w:val="22"/>
          <w:szCs w:val="22"/>
          <w:lang w:val="de-DE" w:eastAsia="en-US"/>
        </w:rPr>
      </w:pPr>
      <w:r w:rsidRPr="004D38A0">
        <w:rPr>
          <w:rFonts w:ascii="Arial" w:hAnsi="Arial" w:cs="Arial"/>
          <w:b/>
          <w:bCs/>
          <w:sz w:val="22"/>
          <w:szCs w:val="22"/>
          <w:lang w:val="de-DE" w:eastAsia="en-US"/>
        </w:rPr>
        <w:t>WOHNGELD</w:t>
      </w:r>
    </w:p>
    <w:p w:rsidR="00917D7F" w:rsidRPr="004D38A0" w:rsidRDefault="00917D7F" w:rsidP="00917D7F">
      <w:pPr>
        <w:tabs>
          <w:tab w:val="center" w:pos="4536"/>
          <w:tab w:val="right" w:pos="9072"/>
        </w:tabs>
        <w:jc w:val="both"/>
        <w:outlineLvl w:val="0"/>
        <w:rPr>
          <w:rFonts w:ascii="Arial" w:hAnsi="Arial" w:cs="Arial"/>
          <w:b/>
          <w:bCs/>
          <w:sz w:val="22"/>
          <w:szCs w:val="22"/>
          <w:lang w:val="de-DE" w:eastAsia="en-US"/>
        </w:rPr>
      </w:pPr>
    </w:p>
    <w:p w:rsidR="00917D7F" w:rsidRPr="004D38A0" w:rsidRDefault="00AA3D28" w:rsidP="00917D7F">
      <w:pPr>
        <w:spacing w:line="360" w:lineRule="auto"/>
        <w:jc w:val="both"/>
        <w:rPr>
          <w:rFonts w:ascii="Arial" w:hAnsi="Arial" w:cs="Arial"/>
          <w:sz w:val="22"/>
          <w:szCs w:val="22"/>
          <w:lang w:val="de-DE"/>
        </w:rPr>
      </w:pPr>
      <w:r>
        <w:rPr>
          <w:rFonts w:ascii="Arial" w:hAnsi="Arial" w:cs="Arial"/>
          <w:sz w:val="22"/>
          <w:szCs w:val="22"/>
          <w:lang w:val="de-DE"/>
        </w:rPr>
        <w:t xml:space="preserve">Bis heute sind 3.797 </w:t>
      </w:r>
      <w:r w:rsidR="00F3494C">
        <w:rPr>
          <w:rFonts w:ascii="Arial" w:hAnsi="Arial" w:cs="Arial"/>
          <w:sz w:val="22"/>
          <w:szCs w:val="22"/>
          <w:lang w:val="de-DE"/>
        </w:rPr>
        <w:t>Gesuche</w:t>
      </w:r>
      <w:r>
        <w:rPr>
          <w:rFonts w:ascii="Arial" w:hAnsi="Arial" w:cs="Arial"/>
          <w:sz w:val="22"/>
          <w:szCs w:val="22"/>
          <w:lang w:val="de-DE"/>
        </w:rPr>
        <w:t xml:space="preserve"> für Wohngeld eingereicht worden, b</w:t>
      </w:r>
      <w:r w:rsidR="00917D7F" w:rsidRPr="004D38A0">
        <w:rPr>
          <w:rFonts w:ascii="Arial" w:hAnsi="Arial" w:cs="Arial"/>
          <w:sz w:val="22"/>
          <w:szCs w:val="22"/>
          <w:lang w:val="de-DE"/>
        </w:rPr>
        <w:t>is Ende des Jahres werden es voraussichtlich 4</w:t>
      </w:r>
      <w:r>
        <w:rPr>
          <w:rFonts w:ascii="Arial" w:hAnsi="Arial" w:cs="Arial"/>
          <w:sz w:val="22"/>
          <w:szCs w:val="22"/>
          <w:lang w:val="de-DE"/>
        </w:rPr>
        <w:t>.</w:t>
      </w:r>
      <w:r w:rsidR="00917D7F" w:rsidRPr="004D38A0">
        <w:rPr>
          <w:rFonts w:ascii="Arial" w:hAnsi="Arial" w:cs="Arial"/>
          <w:sz w:val="22"/>
          <w:szCs w:val="22"/>
          <w:lang w:val="de-DE"/>
        </w:rPr>
        <w:t xml:space="preserve">250 Gesuche mit einer Gesamtausgabe von ungefähr </w:t>
      </w:r>
      <w:r>
        <w:rPr>
          <w:rFonts w:ascii="Arial" w:hAnsi="Arial" w:cs="Arial"/>
          <w:sz w:val="22"/>
          <w:szCs w:val="22"/>
          <w:lang w:val="de-DE"/>
        </w:rPr>
        <w:t xml:space="preserve"> </w:t>
      </w:r>
      <w:r>
        <w:rPr>
          <w:rFonts w:ascii="Arial" w:hAnsi="Arial" w:cs="Arial"/>
          <w:sz w:val="22"/>
          <w:szCs w:val="22"/>
          <w:lang w:val="de-DE"/>
        </w:rPr>
        <w:br/>
      </w:r>
      <w:r w:rsidR="00917D7F" w:rsidRPr="004D38A0">
        <w:rPr>
          <w:rFonts w:ascii="Arial" w:hAnsi="Arial" w:cs="Arial"/>
          <w:sz w:val="22"/>
          <w:szCs w:val="22"/>
          <w:lang w:val="de-DE"/>
        </w:rPr>
        <w:t>€ 17.400.000 sein.</w:t>
      </w:r>
    </w:p>
    <w:p w:rsidR="00917D7F" w:rsidRDefault="00917D7F" w:rsidP="00917D7F">
      <w:pPr>
        <w:spacing w:line="360" w:lineRule="auto"/>
        <w:jc w:val="both"/>
        <w:rPr>
          <w:rFonts w:ascii="Arial" w:hAnsi="Arial" w:cs="Arial"/>
          <w:sz w:val="22"/>
          <w:szCs w:val="22"/>
          <w:lang w:val="de-DE"/>
        </w:rPr>
      </w:pPr>
      <w:r w:rsidRPr="004D38A0">
        <w:rPr>
          <w:rFonts w:ascii="Arial" w:hAnsi="Arial" w:cs="Arial"/>
          <w:sz w:val="22"/>
          <w:szCs w:val="22"/>
          <w:lang w:val="de-DE"/>
        </w:rPr>
        <w:t>Die Anzahl der Gesuche ist im Vergleich zum Vorjahr beträchtlich zurückgegangen (8261), da laut neuer Gesetzbestimmung für viele Gesuche den zustehenden Mietenbeitrag nur bis zur ersten Fälligkeit des Mietvertrages ausbezahlt werden darf. Die Gesuchsteller müssen sich dann an die gebietsmäßig zuständigen Sozialsprengel wenden.</w:t>
      </w:r>
    </w:p>
    <w:p w:rsidR="00F3494C" w:rsidRPr="004D38A0" w:rsidRDefault="00F3494C" w:rsidP="00917D7F">
      <w:pPr>
        <w:spacing w:line="360" w:lineRule="auto"/>
        <w:jc w:val="both"/>
        <w:rPr>
          <w:rFonts w:ascii="Arial" w:hAnsi="Arial" w:cs="Arial"/>
          <w:sz w:val="22"/>
          <w:szCs w:val="22"/>
          <w:lang w:val="de-DE"/>
        </w:rPr>
      </w:pPr>
      <w:r>
        <w:rPr>
          <w:rFonts w:ascii="Arial" w:hAnsi="Arial" w:cs="Arial"/>
          <w:sz w:val="22"/>
          <w:szCs w:val="22"/>
          <w:lang w:val="de-DE"/>
        </w:rPr>
        <w:t>Für das kommende Jahr rechnet man mit ungefähr 2.500 Gesuchen, in Anbetracht der Tatsache, dass die neuen Anfragen nicht mehr an das Institut</w:t>
      </w:r>
      <w:r w:rsidR="004C77E1">
        <w:rPr>
          <w:rFonts w:ascii="Arial" w:hAnsi="Arial" w:cs="Arial"/>
          <w:sz w:val="22"/>
          <w:szCs w:val="22"/>
          <w:lang w:val="de-DE"/>
        </w:rPr>
        <w:t>,</w:t>
      </w:r>
      <w:r>
        <w:rPr>
          <w:rFonts w:ascii="Arial" w:hAnsi="Arial" w:cs="Arial"/>
          <w:sz w:val="22"/>
          <w:szCs w:val="22"/>
          <w:lang w:val="de-DE"/>
        </w:rPr>
        <w:t xml:space="preserve"> </w:t>
      </w:r>
      <w:r w:rsidR="005048D4">
        <w:rPr>
          <w:rFonts w:ascii="Arial" w:hAnsi="Arial" w:cs="Arial"/>
          <w:sz w:val="22"/>
          <w:szCs w:val="22"/>
          <w:lang w:val="de-DE"/>
        </w:rPr>
        <w:t xml:space="preserve">sondern an die </w:t>
      </w:r>
      <w:r w:rsidR="004C77E1">
        <w:rPr>
          <w:rFonts w:ascii="Arial" w:hAnsi="Arial" w:cs="Arial"/>
          <w:sz w:val="22"/>
          <w:szCs w:val="22"/>
          <w:lang w:val="de-DE"/>
        </w:rPr>
        <w:t>Bürgerzentren gestellt werden.</w:t>
      </w:r>
    </w:p>
    <w:p w:rsidR="00917D7F" w:rsidRPr="004D38A0" w:rsidRDefault="00917D7F" w:rsidP="00917D7F">
      <w:pPr>
        <w:spacing w:line="360" w:lineRule="auto"/>
        <w:jc w:val="both"/>
        <w:rPr>
          <w:rFonts w:ascii="Arial" w:hAnsi="Arial" w:cs="Arial"/>
          <w:sz w:val="22"/>
          <w:szCs w:val="22"/>
          <w:lang w:val="de-DE" w:eastAsia="en-US"/>
        </w:rPr>
      </w:pPr>
      <w:r w:rsidRPr="004D38A0">
        <w:rPr>
          <w:rFonts w:ascii="Arial" w:hAnsi="Arial" w:cs="Arial"/>
          <w:sz w:val="22"/>
          <w:szCs w:val="22"/>
          <w:lang w:val="de-DE"/>
        </w:rPr>
        <w:t xml:space="preserve">Für das Jahr 2015 wird eine Ausgabe für das Wohngeld von € 6.500.000 vorgesehen. Die effektive Ausgabe einschließlich der im Jahr 2014 genehmigten Gesuche, wird ungefähr </w:t>
      </w:r>
      <w:r w:rsidR="00F3494C">
        <w:rPr>
          <w:rFonts w:ascii="Arial" w:hAnsi="Arial" w:cs="Arial"/>
          <w:sz w:val="22"/>
          <w:szCs w:val="22"/>
          <w:lang w:val="de-DE"/>
        </w:rPr>
        <w:t xml:space="preserve">      </w:t>
      </w:r>
      <w:r w:rsidRPr="004D38A0">
        <w:rPr>
          <w:rFonts w:ascii="Arial" w:hAnsi="Arial" w:cs="Arial"/>
          <w:sz w:val="22"/>
          <w:szCs w:val="22"/>
          <w:lang w:val="de-DE"/>
        </w:rPr>
        <w:t>€ 8.500.000 betragen.</w:t>
      </w:r>
    </w:p>
    <w:p w:rsidR="00876CF7" w:rsidRPr="004D38A0" w:rsidRDefault="00876CF7">
      <w:pPr>
        <w:pStyle w:val="Sottotitolo"/>
        <w:spacing w:line="240" w:lineRule="auto"/>
        <w:rPr>
          <w:b w:val="0"/>
          <w:bCs w:val="0"/>
          <w:i w:val="0"/>
          <w:iCs w:val="0"/>
          <w:sz w:val="22"/>
          <w:szCs w:val="22"/>
        </w:rPr>
      </w:pPr>
    </w:p>
    <w:p w:rsidR="00C165AA" w:rsidRPr="004D38A0" w:rsidRDefault="00C165AA">
      <w:pPr>
        <w:pStyle w:val="Sottotitolo"/>
        <w:spacing w:line="240" w:lineRule="auto"/>
        <w:rPr>
          <w:b w:val="0"/>
          <w:bCs w:val="0"/>
          <w:i w:val="0"/>
          <w:iCs w:val="0"/>
          <w:sz w:val="22"/>
          <w:szCs w:val="22"/>
        </w:rPr>
      </w:pPr>
    </w:p>
    <w:p w:rsidR="004472FD" w:rsidRDefault="004472FD" w:rsidP="007713D7">
      <w:pPr>
        <w:tabs>
          <w:tab w:val="center" w:pos="4536"/>
          <w:tab w:val="right" w:pos="9072"/>
        </w:tabs>
        <w:jc w:val="both"/>
        <w:outlineLvl w:val="0"/>
        <w:rPr>
          <w:rFonts w:ascii="Arial" w:hAnsi="Arial" w:cs="Arial"/>
          <w:b/>
          <w:bCs/>
          <w:sz w:val="22"/>
          <w:szCs w:val="22"/>
          <w:lang w:val="de-DE" w:eastAsia="en-US"/>
        </w:rPr>
      </w:pPr>
      <w:r w:rsidRPr="004D38A0">
        <w:rPr>
          <w:rFonts w:ascii="Arial" w:hAnsi="Arial" w:cs="Arial"/>
          <w:b/>
          <w:bCs/>
          <w:sz w:val="22"/>
          <w:szCs w:val="22"/>
          <w:lang w:val="de-DE" w:eastAsia="en-US"/>
        </w:rPr>
        <w:t>PERSONALSTAND</w:t>
      </w:r>
    </w:p>
    <w:p w:rsidR="007713D7" w:rsidRPr="004D38A0" w:rsidRDefault="007713D7" w:rsidP="007713D7">
      <w:pPr>
        <w:tabs>
          <w:tab w:val="center" w:pos="4536"/>
          <w:tab w:val="right" w:pos="9072"/>
        </w:tabs>
        <w:jc w:val="both"/>
        <w:outlineLvl w:val="0"/>
        <w:rPr>
          <w:rFonts w:ascii="Arial" w:hAnsi="Arial" w:cs="Arial"/>
          <w:b/>
          <w:bCs/>
          <w:sz w:val="22"/>
          <w:szCs w:val="22"/>
          <w:lang w:val="de-DE" w:eastAsia="en-US"/>
        </w:rPr>
      </w:pPr>
    </w:p>
    <w:p w:rsidR="004472FD" w:rsidRPr="004D38A0" w:rsidRDefault="004472FD" w:rsidP="004472FD">
      <w:pPr>
        <w:spacing w:line="360" w:lineRule="auto"/>
        <w:jc w:val="both"/>
        <w:rPr>
          <w:rFonts w:ascii="Arial" w:hAnsi="Arial" w:cs="Arial"/>
          <w:sz w:val="22"/>
          <w:szCs w:val="22"/>
          <w:lang w:val="de-DE"/>
        </w:rPr>
      </w:pPr>
      <w:r w:rsidRPr="004D38A0">
        <w:rPr>
          <w:rFonts w:ascii="Arial" w:hAnsi="Arial" w:cs="Arial"/>
          <w:sz w:val="22"/>
          <w:szCs w:val="22"/>
          <w:lang w:val="de-DE"/>
        </w:rPr>
        <w:t xml:space="preserve">Zur Zeit zählt das Institut 225 Mitarbeiter (wovon eine Mitarbeiterin Telearbeit zu 100% ausübt), davon sind: 13 in Teilzeit zu 90%, 39 in Teilzeit zu 75% (wovon drei Mitarbeiterinnen Telearbeit ausüben), 13 zu 60%, 17 zu 50%, und 1 zu 30%, 6 Mitarbeiterinnen sind vom Dienst aus den verschiedensten Titeln der Mutterschaft abwesend, 1 Mitarbeiter beansprucht einen unbezahlten Wartestand, 7 Mitarbeiter haben ein befristetes Arbeitsverhältnis als Ersatz von abwesendem Personal inne (wovon ein Mitarbeiter ein Teilzeitarbeitsverhältnis zu 90%, eine Mitarbeiterin ein Teilzeitarbeitsverhältnis zu 75% und eine Mitarbeiterin ein Teilzeitarbeitsverhältnis zu 50% ausüben) und 11 Mitarbeiter haben unter Besetzung von </w:t>
      </w:r>
      <w:r w:rsidRPr="004D38A0">
        <w:rPr>
          <w:rFonts w:ascii="Arial" w:hAnsi="Arial" w:cs="Arial"/>
          <w:sz w:val="22"/>
          <w:szCs w:val="22"/>
          <w:lang w:val="de-DE"/>
        </w:rPr>
        <w:lastRenderedPageBreak/>
        <w:t>freien Stellen ein befristetes Arbeitsverhältnis inne (davon 1 Mitarbeiterin ein Teilzeitarbeitsverhältnis zu 60% und 1 Mitarbeiterin ein Teilzeitarbeitsverhältnis zu 50%).</w:t>
      </w:r>
    </w:p>
    <w:p w:rsidR="004472FD" w:rsidRPr="004D38A0" w:rsidRDefault="004472FD" w:rsidP="004472FD">
      <w:pPr>
        <w:spacing w:line="360" w:lineRule="auto"/>
        <w:jc w:val="both"/>
        <w:rPr>
          <w:rFonts w:ascii="Arial" w:hAnsi="Arial" w:cs="Arial"/>
          <w:sz w:val="22"/>
          <w:szCs w:val="22"/>
          <w:lang w:val="de-DE"/>
        </w:rPr>
      </w:pPr>
    </w:p>
    <w:p w:rsidR="004472FD" w:rsidRPr="004D38A0" w:rsidRDefault="004472FD" w:rsidP="004472FD">
      <w:pPr>
        <w:spacing w:after="120"/>
        <w:rPr>
          <w:rFonts w:ascii="Arial" w:hAnsi="Arial" w:cs="Arial"/>
          <w:bCs/>
          <w:i/>
          <w:sz w:val="22"/>
          <w:szCs w:val="22"/>
          <w:lang w:val="de-DE"/>
        </w:rPr>
      </w:pPr>
      <w:r w:rsidRPr="004D38A0">
        <w:rPr>
          <w:rFonts w:ascii="Arial" w:hAnsi="Arial" w:cs="Arial"/>
          <w:bCs/>
          <w:i/>
          <w:sz w:val="22"/>
          <w:szCs w:val="22"/>
          <w:lang w:val="de-DE"/>
        </w:rPr>
        <w:t>Personalstand zum 01.11.2014</w:t>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779"/>
        <w:gridCol w:w="716"/>
        <w:gridCol w:w="716"/>
        <w:gridCol w:w="716"/>
        <w:gridCol w:w="716"/>
        <w:gridCol w:w="657"/>
        <w:gridCol w:w="1341"/>
      </w:tblGrid>
      <w:tr w:rsidR="004472FD" w:rsidRPr="004D38A0" w:rsidTr="00562CF3">
        <w:trPr>
          <w:cantSplit/>
          <w:trHeight w:val="397"/>
        </w:trPr>
        <w:tc>
          <w:tcPr>
            <w:tcW w:w="3225"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Mitarbeiter</w:t>
            </w:r>
          </w:p>
        </w:tc>
        <w:tc>
          <w:tcPr>
            <w:tcW w:w="779"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100%</w:t>
            </w:r>
          </w:p>
        </w:tc>
        <w:tc>
          <w:tcPr>
            <w:tcW w:w="716"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90%</w:t>
            </w:r>
          </w:p>
        </w:tc>
        <w:tc>
          <w:tcPr>
            <w:tcW w:w="716"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75%</w:t>
            </w:r>
          </w:p>
        </w:tc>
        <w:tc>
          <w:tcPr>
            <w:tcW w:w="716"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60%</w:t>
            </w:r>
          </w:p>
        </w:tc>
        <w:tc>
          <w:tcPr>
            <w:tcW w:w="716"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50%</w:t>
            </w:r>
          </w:p>
        </w:tc>
        <w:tc>
          <w:tcPr>
            <w:tcW w:w="657"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30%</w:t>
            </w:r>
          </w:p>
        </w:tc>
        <w:tc>
          <w:tcPr>
            <w:tcW w:w="1341" w:type="dxa"/>
            <w:vAlign w:val="bottom"/>
          </w:tcPr>
          <w:p w:rsidR="004472FD" w:rsidRPr="004D38A0" w:rsidRDefault="004472FD" w:rsidP="00562CF3">
            <w:pPr>
              <w:spacing w:after="120"/>
              <w:jc w:val="center"/>
              <w:rPr>
                <w:rFonts w:ascii="Arial" w:hAnsi="Arial" w:cs="Arial"/>
                <w:b/>
                <w:bCs/>
                <w:sz w:val="22"/>
                <w:szCs w:val="22"/>
                <w:lang w:val="de-DE"/>
              </w:rPr>
            </w:pPr>
            <w:r w:rsidRPr="004D38A0">
              <w:rPr>
                <w:rFonts w:ascii="Arial" w:hAnsi="Arial" w:cs="Arial"/>
                <w:b/>
                <w:bCs/>
                <w:sz w:val="22"/>
                <w:szCs w:val="22"/>
                <w:lang w:val="de-DE"/>
              </w:rPr>
              <w:t>Anzahl Mitarbeiter</w:t>
            </w:r>
          </w:p>
        </w:tc>
      </w:tr>
      <w:tr w:rsidR="004472FD" w:rsidRPr="004D38A0" w:rsidTr="00562CF3">
        <w:trPr>
          <w:cantSplit/>
          <w:trHeight w:val="397"/>
        </w:trPr>
        <w:tc>
          <w:tcPr>
            <w:tcW w:w="3225"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Unbefristet</w:t>
            </w:r>
          </w:p>
        </w:tc>
        <w:tc>
          <w:tcPr>
            <w:tcW w:w="779"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123</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13</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39</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13</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17</w:t>
            </w:r>
          </w:p>
        </w:tc>
        <w:tc>
          <w:tcPr>
            <w:tcW w:w="657"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1341"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206</w:t>
            </w:r>
          </w:p>
        </w:tc>
      </w:tr>
      <w:tr w:rsidR="004472FD" w:rsidRPr="004D38A0" w:rsidTr="00562CF3">
        <w:trPr>
          <w:cantSplit/>
          <w:trHeight w:val="397"/>
        </w:trPr>
        <w:tc>
          <w:tcPr>
            <w:tcW w:w="3225"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 xml:space="preserve">Befristete </w:t>
            </w:r>
          </w:p>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Führungskräfte</w:t>
            </w:r>
          </w:p>
        </w:tc>
        <w:tc>
          <w:tcPr>
            <w:tcW w:w="779"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p>
        </w:tc>
        <w:tc>
          <w:tcPr>
            <w:tcW w:w="657" w:type="dxa"/>
            <w:vAlign w:val="bottom"/>
          </w:tcPr>
          <w:p w:rsidR="004472FD" w:rsidRPr="004D38A0" w:rsidRDefault="004472FD" w:rsidP="00562CF3">
            <w:pPr>
              <w:spacing w:line="360" w:lineRule="auto"/>
              <w:jc w:val="center"/>
              <w:rPr>
                <w:rFonts w:ascii="Arial" w:hAnsi="Arial" w:cs="Arial"/>
                <w:sz w:val="22"/>
                <w:szCs w:val="22"/>
                <w:lang w:val="de-DE"/>
              </w:rPr>
            </w:pPr>
          </w:p>
        </w:tc>
        <w:tc>
          <w:tcPr>
            <w:tcW w:w="1341"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r>
      <w:tr w:rsidR="004472FD" w:rsidRPr="004D38A0" w:rsidTr="00562CF3">
        <w:trPr>
          <w:cantSplit/>
          <w:trHeight w:val="397"/>
        </w:trPr>
        <w:tc>
          <w:tcPr>
            <w:tcW w:w="3225"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Befristet</w:t>
            </w:r>
          </w:p>
        </w:tc>
        <w:tc>
          <w:tcPr>
            <w:tcW w:w="779"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13</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2</w:t>
            </w:r>
          </w:p>
        </w:tc>
        <w:tc>
          <w:tcPr>
            <w:tcW w:w="657"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w:t>
            </w:r>
          </w:p>
        </w:tc>
        <w:tc>
          <w:tcPr>
            <w:tcW w:w="1341"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18</w:t>
            </w:r>
          </w:p>
        </w:tc>
      </w:tr>
      <w:tr w:rsidR="004472FD" w:rsidRPr="004D38A0" w:rsidTr="00562CF3">
        <w:trPr>
          <w:cantSplit/>
          <w:trHeight w:val="397"/>
        </w:trPr>
        <w:tc>
          <w:tcPr>
            <w:tcW w:w="3225" w:type="dxa"/>
            <w:vAlign w:val="bottom"/>
          </w:tcPr>
          <w:p w:rsidR="004472FD" w:rsidRPr="004D38A0" w:rsidRDefault="004472FD" w:rsidP="00562CF3">
            <w:pPr>
              <w:keepNext/>
              <w:spacing w:line="360" w:lineRule="auto"/>
              <w:jc w:val="center"/>
              <w:outlineLvl w:val="0"/>
              <w:rPr>
                <w:rFonts w:ascii="Arial" w:hAnsi="Arial" w:cs="Arial"/>
                <w:b/>
                <w:bCs/>
                <w:sz w:val="22"/>
                <w:szCs w:val="22"/>
                <w:lang w:val="de-DE"/>
              </w:rPr>
            </w:pPr>
            <w:r w:rsidRPr="004D38A0">
              <w:rPr>
                <w:rFonts w:ascii="Arial" w:hAnsi="Arial" w:cs="Arial"/>
                <w:b/>
                <w:bCs/>
                <w:sz w:val="22"/>
                <w:szCs w:val="22"/>
                <w:lang w:val="de-DE"/>
              </w:rPr>
              <w:t>Insgesamt</w:t>
            </w:r>
          </w:p>
        </w:tc>
        <w:tc>
          <w:tcPr>
            <w:tcW w:w="779"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137</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14</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40</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14</w:t>
            </w:r>
          </w:p>
        </w:tc>
        <w:tc>
          <w:tcPr>
            <w:tcW w:w="716"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19</w:t>
            </w:r>
          </w:p>
        </w:tc>
        <w:tc>
          <w:tcPr>
            <w:tcW w:w="657" w:type="dxa"/>
            <w:vAlign w:val="bottom"/>
          </w:tcPr>
          <w:p w:rsidR="004472FD" w:rsidRPr="004D38A0" w:rsidRDefault="004472FD" w:rsidP="00562CF3">
            <w:pPr>
              <w:spacing w:line="360" w:lineRule="auto"/>
              <w:jc w:val="center"/>
              <w:rPr>
                <w:rFonts w:ascii="Arial" w:hAnsi="Arial" w:cs="Arial"/>
                <w:sz w:val="22"/>
                <w:szCs w:val="22"/>
                <w:lang w:val="de-DE"/>
              </w:rPr>
            </w:pPr>
            <w:r w:rsidRPr="004D38A0">
              <w:rPr>
                <w:rFonts w:ascii="Arial" w:hAnsi="Arial" w:cs="Arial"/>
                <w:sz w:val="22"/>
                <w:szCs w:val="22"/>
                <w:lang w:val="de-DE"/>
              </w:rPr>
              <w:t>1</w:t>
            </w:r>
          </w:p>
        </w:tc>
        <w:tc>
          <w:tcPr>
            <w:tcW w:w="1341" w:type="dxa"/>
            <w:vAlign w:val="bottom"/>
          </w:tcPr>
          <w:p w:rsidR="004472FD" w:rsidRPr="004D38A0" w:rsidRDefault="004472FD" w:rsidP="00562CF3">
            <w:pPr>
              <w:spacing w:line="360" w:lineRule="auto"/>
              <w:jc w:val="center"/>
              <w:rPr>
                <w:rFonts w:ascii="Arial" w:hAnsi="Arial" w:cs="Arial"/>
                <w:b/>
                <w:bCs/>
                <w:sz w:val="22"/>
                <w:szCs w:val="22"/>
                <w:lang w:val="de-DE"/>
              </w:rPr>
            </w:pPr>
            <w:r w:rsidRPr="004D38A0">
              <w:rPr>
                <w:rFonts w:ascii="Arial" w:hAnsi="Arial" w:cs="Arial"/>
                <w:b/>
                <w:bCs/>
                <w:sz w:val="22"/>
                <w:szCs w:val="22"/>
                <w:lang w:val="de-DE"/>
              </w:rPr>
              <w:t>225</w:t>
            </w:r>
          </w:p>
        </w:tc>
      </w:tr>
    </w:tbl>
    <w:p w:rsidR="004472FD" w:rsidRPr="004D38A0" w:rsidRDefault="004472FD" w:rsidP="004472FD">
      <w:pPr>
        <w:spacing w:line="360" w:lineRule="auto"/>
        <w:jc w:val="both"/>
        <w:rPr>
          <w:rFonts w:ascii="Arial" w:hAnsi="Arial" w:cs="Arial"/>
          <w:sz w:val="22"/>
          <w:szCs w:val="22"/>
          <w:lang w:val="de-DE"/>
        </w:rPr>
      </w:pPr>
    </w:p>
    <w:p w:rsidR="004472FD" w:rsidRPr="004D38A0" w:rsidRDefault="004472FD" w:rsidP="004472FD">
      <w:pPr>
        <w:spacing w:line="360" w:lineRule="auto"/>
        <w:jc w:val="both"/>
        <w:rPr>
          <w:rFonts w:ascii="Arial" w:hAnsi="Arial" w:cs="Arial"/>
          <w:sz w:val="22"/>
          <w:szCs w:val="22"/>
          <w:lang w:val="de-DE"/>
        </w:rPr>
      </w:pPr>
      <w:r w:rsidRPr="004D38A0">
        <w:rPr>
          <w:rFonts w:ascii="Arial" w:hAnsi="Arial" w:cs="Arial"/>
          <w:sz w:val="22"/>
          <w:szCs w:val="22"/>
          <w:lang w:val="de-DE"/>
        </w:rPr>
        <w:t xml:space="preserve">Im Stellenplan sind 201,80 Stellen vorgesehen, davon werden 181,65 Stellen von Personal mit unbefristetem Arbeitsverhältnis besetzt. </w:t>
      </w:r>
    </w:p>
    <w:p w:rsidR="00310191" w:rsidRPr="004D38A0" w:rsidRDefault="00310191" w:rsidP="00975E76">
      <w:pPr>
        <w:pStyle w:val="Corpotesto"/>
        <w:rPr>
          <w:color w:val="auto"/>
          <w:sz w:val="22"/>
          <w:szCs w:val="22"/>
        </w:rPr>
      </w:pPr>
    </w:p>
    <w:p w:rsidR="000F3BBB" w:rsidRPr="004D38A0" w:rsidRDefault="000F3BBB" w:rsidP="000F3BBB">
      <w:pPr>
        <w:pStyle w:val="Sottotitolo"/>
        <w:spacing w:line="240" w:lineRule="auto"/>
        <w:jc w:val="both"/>
        <w:rPr>
          <w:b w:val="0"/>
          <w:bCs w:val="0"/>
          <w:i w:val="0"/>
          <w:iCs w:val="0"/>
          <w:sz w:val="22"/>
          <w:szCs w:val="22"/>
        </w:rPr>
      </w:pPr>
    </w:p>
    <w:p w:rsidR="00142656" w:rsidRPr="004D38A0" w:rsidRDefault="00142656" w:rsidP="00142656">
      <w:pPr>
        <w:pStyle w:val="Sottotitolo"/>
        <w:spacing w:line="240" w:lineRule="auto"/>
        <w:jc w:val="both"/>
        <w:rPr>
          <w:bCs w:val="0"/>
          <w:i w:val="0"/>
          <w:iCs w:val="0"/>
          <w:sz w:val="22"/>
          <w:szCs w:val="22"/>
        </w:rPr>
      </w:pPr>
      <w:r w:rsidRPr="004D38A0">
        <w:rPr>
          <w:bCs w:val="0"/>
          <w:i w:val="0"/>
          <w:iCs w:val="0"/>
          <w:sz w:val="22"/>
          <w:szCs w:val="22"/>
        </w:rPr>
        <w:t>DIGITALER RECHNUNGSFLUSS</w:t>
      </w:r>
    </w:p>
    <w:p w:rsidR="00142656" w:rsidRPr="004D38A0" w:rsidRDefault="00142656" w:rsidP="00142656">
      <w:pPr>
        <w:pStyle w:val="Sottotitolo"/>
        <w:spacing w:line="240" w:lineRule="auto"/>
        <w:jc w:val="both"/>
        <w:rPr>
          <w:b w:val="0"/>
          <w:bCs w:val="0"/>
          <w:i w:val="0"/>
          <w:iCs w:val="0"/>
          <w:sz w:val="22"/>
          <w:szCs w:val="22"/>
        </w:rPr>
      </w:pPr>
    </w:p>
    <w:p w:rsidR="00A63132" w:rsidRPr="004D38A0" w:rsidRDefault="00A63132" w:rsidP="00142656">
      <w:pPr>
        <w:pStyle w:val="Sottotitolo"/>
        <w:spacing w:line="360" w:lineRule="auto"/>
        <w:jc w:val="both"/>
        <w:rPr>
          <w:b w:val="0"/>
          <w:bCs w:val="0"/>
          <w:i w:val="0"/>
          <w:iCs w:val="0"/>
          <w:sz w:val="22"/>
          <w:szCs w:val="22"/>
        </w:rPr>
      </w:pPr>
      <w:r w:rsidRPr="004D38A0">
        <w:rPr>
          <w:b w:val="0"/>
          <w:bCs w:val="0"/>
          <w:i w:val="0"/>
          <w:iCs w:val="0"/>
          <w:sz w:val="22"/>
          <w:szCs w:val="22"/>
        </w:rPr>
        <w:t xml:space="preserve">Im Laufe des Jahres 2015 wird </w:t>
      </w:r>
      <w:r w:rsidR="00F87329" w:rsidRPr="004D38A0">
        <w:rPr>
          <w:b w:val="0"/>
          <w:bCs w:val="0"/>
          <w:i w:val="0"/>
          <w:iCs w:val="0"/>
          <w:sz w:val="22"/>
          <w:szCs w:val="22"/>
        </w:rPr>
        <w:t>die Umsetzung der</w:t>
      </w:r>
      <w:r w:rsidRPr="004D38A0">
        <w:rPr>
          <w:b w:val="0"/>
          <w:bCs w:val="0"/>
          <w:i w:val="0"/>
          <w:iCs w:val="0"/>
          <w:sz w:val="22"/>
          <w:szCs w:val="22"/>
        </w:rPr>
        <w:t xml:space="preserve"> Prozedur des digitalen Rechnungs</w:t>
      </w:r>
      <w:r w:rsidR="00F87329" w:rsidRPr="004D38A0">
        <w:rPr>
          <w:b w:val="0"/>
          <w:bCs w:val="0"/>
          <w:i w:val="0"/>
          <w:iCs w:val="0"/>
          <w:sz w:val="22"/>
          <w:szCs w:val="22"/>
        </w:rPr>
        <w:t>- und Zahlungsflusses für alle Ämter des Institutes abgeschlossen.</w:t>
      </w:r>
    </w:p>
    <w:p w:rsidR="00142656" w:rsidRPr="004D38A0" w:rsidRDefault="00142656" w:rsidP="00142656">
      <w:pPr>
        <w:pStyle w:val="Sottotitolo"/>
        <w:spacing w:line="360" w:lineRule="auto"/>
        <w:jc w:val="both"/>
        <w:rPr>
          <w:b w:val="0"/>
          <w:bCs w:val="0"/>
          <w:i w:val="0"/>
          <w:iCs w:val="0"/>
          <w:sz w:val="22"/>
          <w:szCs w:val="22"/>
        </w:rPr>
      </w:pPr>
    </w:p>
    <w:p w:rsidR="000F3BBB" w:rsidRPr="004D38A0" w:rsidRDefault="0001033D" w:rsidP="0001033D">
      <w:pPr>
        <w:pStyle w:val="Sottotitolo"/>
        <w:spacing w:line="240" w:lineRule="auto"/>
        <w:jc w:val="both"/>
        <w:rPr>
          <w:bCs w:val="0"/>
          <w:i w:val="0"/>
          <w:iCs w:val="0"/>
          <w:sz w:val="22"/>
          <w:szCs w:val="22"/>
        </w:rPr>
      </w:pPr>
      <w:r w:rsidRPr="004D38A0">
        <w:rPr>
          <w:bCs w:val="0"/>
          <w:i w:val="0"/>
          <w:iCs w:val="0"/>
          <w:sz w:val="22"/>
          <w:szCs w:val="22"/>
        </w:rPr>
        <w:t>ELEKTRONISCHE RECHNUNGSSTELLUNG</w:t>
      </w:r>
    </w:p>
    <w:p w:rsidR="0001033D" w:rsidRPr="004D38A0" w:rsidRDefault="0001033D" w:rsidP="000F3BBB">
      <w:pPr>
        <w:pStyle w:val="Sottotitolo"/>
        <w:jc w:val="both"/>
        <w:rPr>
          <w:b w:val="0"/>
          <w:bCs w:val="0"/>
          <w:i w:val="0"/>
          <w:iCs w:val="0"/>
          <w:sz w:val="22"/>
          <w:szCs w:val="22"/>
        </w:rPr>
      </w:pPr>
    </w:p>
    <w:p w:rsidR="0001033D" w:rsidRPr="004D38A0" w:rsidRDefault="0001033D" w:rsidP="00DD6875">
      <w:pPr>
        <w:pStyle w:val="Sottotitolo"/>
        <w:spacing w:line="360" w:lineRule="auto"/>
        <w:jc w:val="both"/>
        <w:rPr>
          <w:b w:val="0"/>
          <w:bCs w:val="0"/>
          <w:i w:val="0"/>
          <w:iCs w:val="0"/>
          <w:sz w:val="22"/>
          <w:szCs w:val="22"/>
        </w:rPr>
      </w:pPr>
      <w:r w:rsidRPr="004D38A0">
        <w:rPr>
          <w:b w:val="0"/>
          <w:bCs w:val="0"/>
          <w:i w:val="0"/>
          <w:iCs w:val="0"/>
          <w:sz w:val="22"/>
          <w:szCs w:val="22"/>
        </w:rPr>
        <w:t xml:space="preserve">Um das Verfahren der Rechnungsstellung und der Verbuchung der steuerpflichtigen Bewegungen zu vereinfachen, wurde mit Gesetz Nr. 244 vom 24. Dezember 2007 die Verpflichtung zur Übermittlung, Konservierung und Archivierung der ausgestellten Rechnungen an die Verwaltungsorgane des Staates, auch mit autonomer Regelung, und an die öffentlichen Staatskörperschaften ausschließlich in elektronischem Format eingeführt. </w:t>
      </w:r>
      <w:r w:rsidR="00405407" w:rsidRPr="004D38A0">
        <w:rPr>
          <w:b w:val="0"/>
          <w:bCs w:val="0"/>
          <w:i w:val="0"/>
          <w:iCs w:val="0"/>
          <w:sz w:val="22"/>
          <w:szCs w:val="22"/>
        </w:rPr>
        <w:t>Das Gesetz Nr. 89 vom 23. Juni 2014 hat den Termin für das Inkrafttreten dieser Verordnung mit 31. März 2015 festgelegt.</w:t>
      </w:r>
    </w:p>
    <w:p w:rsidR="00405407" w:rsidRPr="004D38A0" w:rsidRDefault="00405407" w:rsidP="00DD6875">
      <w:pPr>
        <w:pStyle w:val="Sottotitolo"/>
        <w:spacing w:line="360" w:lineRule="auto"/>
        <w:jc w:val="both"/>
        <w:rPr>
          <w:b w:val="0"/>
          <w:bCs w:val="0"/>
          <w:i w:val="0"/>
          <w:iCs w:val="0"/>
          <w:sz w:val="22"/>
          <w:szCs w:val="22"/>
        </w:rPr>
      </w:pPr>
      <w:r w:rsidRPr="004D38A0">
        <w:rPr>
          <w:b w:val="0"/>
          <w:bCs w:val="0"/>
          <w:i w:val="0"/>
          <w:iCs w:val="0"/>
          <w:sz w:val="22"/>
          <w:szCs w:val="22"/>
        </w:rPr>
        <w:t xml:space="preserve">Somit </w:t>
      </w:r>
      <w:r w:rsidR="00F87329" w:rsidRPr="004D38A0">
        <w:rPr>
          <w:b w:val="0"/>
          <w:bCs w:val="0"/>
          <w:i w:val="0"/>
          <w:iCs w:val="0"/>
          <w:sz w:val="22"/>
          <w:szCs w:val="22"/>
        </w:rPr>
        <w:t xml:space="preserve">muss </w:t>
      </w:r>
      <w:r w:rsidRPr="004D38A0">
        <w:rPr>
          <w:b w:val="0"/>
          <w:bCs w:val="0"/>
          <w:i w:val="0"/>
          <w:iCs w:val="0"/>
          <w:sz w:val="22"/>
          <w:szCs w:val="22"/>
        </w:rPr>
        <w:t>auch d</w:t>
      </w:r>
      <w:r w:rsidR="00635B83" w:rsidRPr="004D38A0">
        <w:rPr>
          <w:b w:val="0"/>
          <w:bCs w:val="0"/>
          <w:i w:val="0"/>
          <w:iCs w:val="0"/>
          <w:sz w:val="22"/>
          <w:szCs w:val="22"/>
        </w:rPr>
        <w:t>as</w:t>
      </w:r>
      <w:r w:rsidRPr="004D38A0">
        <w:rPr>
          <w:b w:val="0"/>
          <w:bCs w:val="0"/>
          <w:i w:val="0"/>
          <w:iCs w:val="0"/>
          <w:sz w:val="22"/>
          <w:szCs w:val="22"/>
        </w:rPr>
        <w:t xml:space="preserve"> Institut </w:t>
      </w:r>
      <w:r w:rsidR="00635B83" w:rsidRPr="004D38A0">
        <w:rPr>
          <w:b w:val="0"/>
          <w:bCs w:val="0"/>
          <w:i w:val="0"/>
          <w:iCs w:val="0"/>
          <w:sz w:val="22"/>
          <w:szCs w:val="22"/>
        </w:rPr>
        <w:t>innerhalb diesem Termin</w:t>
      </w:r>
      <w:r w:rsidRPr="004D38A0">
        <w:rPr>
          <w:b w:val="0"/>
          <w:bCs w:val="0"/>
          <w:i w:val="0"/>
          <w:iCs w:val="0"/>
          <w:sz w:val="22"/>
          <w:szCs w:val="22"/>
        </w:rPr>
        <w:t xml:space="preserve"> die eigenen buchhalterischen Verfahren den vorgesehenen Verordnungen anpassen und den elektronischen Rechnungsfluss aktivieren.</w:t>
      </w:r>
    </w:p>
    <w:p w:rsidR="000F3BBB" w:rsidRDefault="000F3BBB" w:rsidP="000F3BBB">
      <w:pPr>
        <w:pStyle w:val="Sottotitolo"/>
        <w:spacing w:line="360" w:lineRule="auto"/>
        <w:jc w:val="both"/>
        <w:rPr>
          <w:b w:val="0"/>
          <w:bCs w:val="0"/>
          <w:i w:val="0"/>
          <w:iCs w:val="0"/>
          <w:sz w:val="22"/>
          <w:szCs w:val="22"/>
        </w:rPr>
      </w:pPr>
    </w:p>
    <w:p w:rsidR="00774588" w:rsidRPr="004923E1" w:rsidRDefault="00774588" w:rsidP="000F3BBB">
      <w:pPr>
        <w:pStyle w:val="Sottotitolo"/>
        <w:spacing w:line="360" w:lineRule="auto"/>
        <w:jc w:val="both"/>
        <w:rPr>
          <w:b w:val="0"/>
          <w:bCs w:val="0"/>
          <w:i w:val="0"/>
          <w:iCs w:val="0"/>
          <w:sz w:val="22"/>
          <w:szCs w:val="22"/>
        </w:rPr>
      </w:pPr>
    </w:p>
    <w:p w:rsidR="000F3BBB" w:rsidRPr="004923E1" w:rsidRDefault="000F3BBB" w:rsidP="00B86FDD">
      <w:pPr>
        <w:pStyle w:val="Sottotitolo"/>
        <w:spacing w:line="240" w:lineRule="auto"/>
        <w:jc w:val="both"/>
        <w:rPr>
          <w:bCs w:val="0"/>
          <w:i w:val="0"/>
          <w:iCs w:val="0"/>
          <w:sz w:val="22"/>
          <w:szCs w:val="22"/>
        </w:rPr>
      </w:pPr>
      <w:r w:rsidRPr="004923E1">
        <w:rPr>
          <w:bCs w:val="0"/>
          <w:i w:val="0"/>
          <w:iCs w:val="0"/>
          <w:sz w:val="22"/>
          <w:szCs w:val="22"/>
        </w:rPr>
        <w:t>VERWALTUNGSTÄTIGKEIT</w:t>
      </w:r>
    </w:p>
    <w:p w:rsidR="000F3BBB" w:rsidRPr="004923E1" w:rsidRDefault="000F3BBB" w:rsidP="00B86FDD">
      <w:pPr>
        <w:pStyle w:val="Sottotitolo"/>
        <w:spacing w:line="240" w:lineRule="auto"/>
        <w:jc w:val="both"/>
        <w:rPr>
          <w:b w:val="0"/>
          <w:bCs w:val="0"/>
          <w:i w:val="0"/>
          <w:iCs w:val="0"/>
          <w:sz w:val="22"/>
          <w:szCs w:val="22"/>
        </w:rPr>
      </w:pPr>
    </w:p>
    <w:p w:rsidR="00B66D66" w:rsidRDefault="00B66D66" w:rsidP="000F3BBB">
      <w:pPr>
        <w:pStyle w:val="Sottotitolo"/>
        <w:spacing w:line="360" w:lineRule="auto"/>
        <w:jc w:val="both"/>
        <w:rPr>
          <w:b w:val="0"/>
          <w:bCs w:val="0"/>
          <w:i w:val="0"/>
          <w:iCs w:val="0"/>
          <w:sz w:val="22"/>
          <w:szCs w:val="22"/>
        </w:rPr>
      </w:pPr>
      <w:r>
        <w:rPr>
          <w:b w:val="0"/>
          <w:bCs w:val="0"/>
          <w:i w:val="0"/>
          <w:iCs w:val="0"/>
          <w:sz w:val="22"/>
          <w:szCs w:val="22"/>
        </w:rPr>
        <w:t xml:space="preserve">Laut den Unterlagen und den aktuellen Schätzungen, wird der Haushaltsvoranschlag 2015 einen Verlust aufweisen. Dieser Verlust, der ausführlicher im Bericht zur Planbilanz erläutert wird, entsteht aufgrund der erhöhten Belastung durch die Abschreibungsquoten und der </w:t>
      </w:r>
      <w:r>
        <w:rPr>
          <w:b w:val="0"/>
          <w:bCs w:val="0"/>
          <w:i w:val="0"/>
          <w:iCs w:val="0"/>
          <w:sz w:val="22"/>
          <w:szCs w:val="22"/>
        </w:rPr>
        <w:lastRenderedPageBreak/>
        <w:t>Ausgaben für Dienste gegenüber gleichbleibenden Mieteinnahmen und verminderten außerordentlichen Einnahmen (Mehrerlöse durch Abtretung von Gebäuden und Zuweisung von Flächen), die in den vorhergehenden Haushalten dafür gesorgt haben, ein wirtschaftlich positives Ergebnis zu erzielen. Während die Entwicklung der Mieteinnahmen für die nächsten Jahre konstant bleiben wird und jene der außerordentlichen Einnahmen weiterhin abnehmen wird, ist der Zuwachs der Ausgaben für die Abs</w:t>
      </w:r>
      <w:r w:rsidR="00F246D9">
        <w:rPr>
          <w:b w:val="0"/>
          <w:bCs w:val="0"/>
          <w:i w:val="0"/>
          <w:iCs w:val="0"/>
          <w:sz w:val="22"/>
          <w:szCs w:val="22"/>
        </w:rPr>
        <w:t xml:space="preserve">chreibungsquoten auf Gebäuden strukturell, </w:t>
      </w:r>
      <w:r w:rsidR="004F0023">
        <w:rPr>
          <w:b w:val="0"/>
          <w:bCs w:val="0"/>
          <w:i w:val="0"/>
          <w:iCs w:val="0"/>
          <w:sz w:val="22"/>
          <w:szCs w:val="22"/>
        </w:rPr>
        <w:t>mit einer wachsenden Beeinflussung der wirtschaftlichen Ergebnisse des Institutes in den folgenden Jahren.</w:t>
      </w:r>
    </w:p>
    <w:p w:rsidR="004F0023" w:rsidRDefault="00340BFF" w:rsidP="000F3BBB">
      <w:pPr>
        <w:pStyle w:val="Sottotitolo"/>
        <w:spacing w:line="360" w:lineRule="auto"/>
        <w:jc w:val="both"/>
        <w:rPr>
          <w:b w:val="0"/>
          <w:bCs w:val="0"/>
          <w:i w:val="0"/>
          <w:iCs w:val="0"/>
          <w:sz w:val="22"/>
          <w:szCs w:val="22"/>
        </w:rPr>
      </w:pPr>
      <w:r>
        <w:rPr>
          <w:b w:val="0"/>
          <w:bCs w:val="0"/>
          <w:i w:val="0"/>
          <w:iCs w:val="0"/>
          <w:sz w:val="22"/>
          <w:szCs w:val="22"/>
        </w:rPr>
        <w:t>Es scheint damit unausweichlich, die Möglichkeiten für einen Eingriff bei den Einnahmen auszuschöpfen, z.B. durch die Mieterhöhung für Wohnungen in neuen Gebäuden mit verminderten Nebenspesen oder durch die Einführung einer Mindestmiete auch für Mieter mit Niedrigsteinkommen.</w:t>
      </w:r>
    </w:p>
    <w:p w:rsidR="00B86FDD" w:rsidRDefault="00B86FDD" w:rsidP="000F3BBB">
      <w:pPr>
        <w:pStyle w:val="Corpotesto"/>
        <w:spacing w:line="360" w:lineRule="auto"/>
        <w:jc w:val="both"/>
        <w:rPr>
          <w:bCs/>
          <w:color w:val="auto"/>
          <w:sz w:val="22"/>
          <w:szCs w:val="22"/>
        </w:rPr>
      </w:pPr>
    </w:p>
    <w:p w:rsidR="00A8021A" w:rsidRPr="004923E1" w:rsidRDefault="00A8021A" w:rsidP="000F3BBB">
      <w:pPr>
        <w:pStyle w:val="Corpotesto"/>
        <w:spacing w:line="360" w:lineRule="auto"/>
        <w:jc w:val="both"/>
        <w:rPr>
          <w:bCs/>
          <w:color w:val="auto"/>
          <w:sz w:val="22"/>
          <w:szCs w:val="22"/>
        </w:rPr>
      </w:pPr>
    </w:p>
    <w:p w:rsidR="000F3BBB" w:rsidRDefault="000F3BBB" w:rsidP="000F3BBB">
      <w:pPr>
        <w:pStyle w:val="Corpotesto"/>
        <w:spacing w:line="360" w:lineRule="auto"/>
        <w:jc w:val="both"/>
        <w:rPr>
          <w:b/>
          <w:bCs/>
          <w:color w:val="auto"/>
          <w:sz w:val="22"/>
          <w:szCs w:val="22"/>
        </w:rPr>
      </w:pPr>
      <w:r w:rsidRPr="004923E1">
        <w:rPr>
          <w:b/>
          <w:bCs/>
          <w:color w:val="auto"/>
          <w:sz w:val="22"/>
          <w:szCs w:val="22"/>
        </w:rPr>
        <w:t>Besondere Ziele des Institutes für das Jahr 201</w:t>
      </w:r>
      <w:r w:rsidR="009E7C48">
        <w:rPr>
          <w:b/>
          <w:bCs/>
          <w:color w:val="auto"/>
          <w:sz w:val="22"/>
          <w:szCs w:val="22"/>
        </w:rPr>
        <w:t>5</w:t>
      </w:r>
      <w:r w:rsidRPr="004923E1">
        <w:rPr>
          <w:b/>
          <w:bCs/>
          <w:color w:val="auto"/>
          <w:sz w:val="22"/>
          <w:szCs w:val="22"/>
        </w:rPr>
        <w:t>:</w:t>
      </w:r>
    </w:p>
    <w:p w:rsidR="00B86FDD" w:rsidRPr="004923E1" w:rsidRDefault="00B86FDD" w:rsidP="000F3BBB">
      <w:pPr>
        <w:pStyle w:val="Corpotesto"/>
        <w:spacing w:line="360" w:lineRule="auto"/>
        <w:jc w:val="both"/>
        <w:rPr>
          <w:b/>
          <w:bCs/>
          <w:color w:val="auto"/>
          <w:sz w:val="22"/>
          <w:szCs w:val="22"/>
        </w:rPr>
      </w:pPr>
    </w:p>
    <w:p w:rsidR="000F3BBB" w:rsidRPr="004923E1" w:rsidRDefault="00F44BD6" w:rsidP="000F3BBB">
      <w:pPr>
        <w:pStyle w:val="Corpotesto"/>
        <w:numPr>
          <w:ilvl w:val="0"/>
          <w:numId w:val="20"/>
        </w:numPr>
        <w:spacing w:line="360" w:lineRule="auto"/>
        <w:jc w:val="both"/>
        <w:rPr>
          <w:color w:val="auto"/>
          <w:sz w:val="22"/>
          <w:szCs w:val="22"/>
        </w:rPr>
      </w:pPr>
      <w:r>
        <w:rPr>
          <w:color w:val="auto"/>
          <w:sz w:val="22"/>
          <w:szCs w:val="22"/>
        </w:rPr>
        <w:t>Weiterführung</w:t>
      </w:r>
      <w:r w:rsidR="000F3BBB" w:rsidRPr="004923E1">
        <w:rPr>
          <w:color w:val="auto"/>
          <w:sz w:val="22"/>
          <w:szCs w:val="22"/>
        </w:rPr>
        <w:t xml:space="preserve"> der Tätigkeit der technischen Abteilung im Bereich Wiederinstandsetzung und Sanierun</w:t>
      </w:r>
      <w:r w:rsidR="00774588">
        <w:rPr>
          <w:color w:val="auto"/>
          <w:sz w:val="22"/>
          <w:szCs w:val="22"/>
        </w:rPr>
        <w:t>g der freien Institutswohnungen</w:t>
      </w:r>
    </w:p>
    <w:p w:rsidR="000F3BBB" w:rsidRPr="004923E1" w:rsidRDefault="00F44BD6" w:rsidP="000F3BBB">
      <w:pPr>
        <w:pStyle w:val="Corpotesto"/>
        <w:numPr>
          <w:ilvl w:val="0"/>
          <w:numId w:val="20"/>
        </w:numPr>
        <w:spacing w:line="360" w:lineRule="auto"/>
        <w:jc w:val="both"/>
        <w:rPr>
          <w:color w:val="auto"/>
          <w:sz w:val="22"/>
          <w:szCs w:val="22"/>
        </w:rPr>
      </w:pPr>
      <w:r>
        <w:rPr>
          <w:color w:val="auto"/>
          <w:sz w:val="22"/>
          <w:szCs w:val="22"/>
        </w:rPr>
        <w:t>Erarbeitung eines neuen Vorschlags zur Berechnung der Wohnungsmieten für Gebäuden mit einem hohen Energiestandard</w:t>
      </w:r>
    </w:p>
    <w:p w:rsidR="000F3BBB" w:rsidRPr="004923E1" w:rsidRDefault="000F3BBB" w:rsidP="000F3BBB">
      <w:pPr>
        <w:pStyle w:val="Corpotesto"/>
        <w:numPr>
          <w:ilvl w:val="0"/>
          <w:numId w:val="20"/>
        </w:numPr>
        <w:spacing w:line="360" w:lineRule="auto"/>
        <w:jc w:val="both"/>
        <w:rPr>
          <w:color w:val="auto"/>
          <w:sz w:val="22"/>
          <w:szCs w:val="22"/>
        </w:rPr>
      </w:pPr>
      <w:r w:rsidRPr="004923E1">
        <w:rPr>
          <w:color w:val="auto"/>
          <w:sz w:val="22"/>
          <w:szCs w:val="22"/>
        </w:rPr>
        <w:t>Umsetzung der Bestimmungen des Antikorruptio</w:t>
      </w:r>
      <w:r w:rsidR="00853A64">
        <w:rPr>
          <w:color w:val="auto"/>
          <w:sz w:val="22"/>
          <w:szCs w:val="22"/>
        </w:rPr>
        <w:t>ns- und des Transparenzgesetzes</w:t>
      </w:r>
    </w:p>
    <w:p w:rsidR="000F3BBB" w:rsidRPr="004923E1" w:rsidRDefault="00F44BD6" w:rsidP="000F3BBB">
      <w:pPr>
        <w:pStyle w:val="Corpotesto"/>
        <w:numPr>
          <w:ilvl w:val="0"/>
          <w:numId w:val="20"/>
        </w:numPr>
        <w:spacing w:line="360" w:lineRule="auto"/>
        <w:jc w:val="both"/>
        <w:rPr>
          <w:color w:val="auto"/>
          <w:sz w:val="22"/>
          <w:szCs w:val="22"/>
        </w:rPr>
      </w:pPr>
      <w:r>
        <w:rPr>
          <w:color w:val="auto"/>
          <w:sz w:val="22"/>
          <w:szCs w:val="22"/>
        </w:rPr>
        <w:t>Umsetzung der elektronischen Rechnung</w:t>
      </w:r>
    </w:p>
    <w:p w:rsidR="009338F0" w:rsidRPr="004923E1" w:rsidRDefault="009338F0" w:rsidP="009338F0">
      <w:pPr>
        <w:pStyle w:val="Corpotesto"/>
        <w:spacing w:line="360" w:lineRule="auto"/>
        <w:jc w:val="both"/>
        <w:rPr>
          <w:color w:val="auto"/>
          <w:sz w:val="22"/>
          <w:szCs w:val="22"/>
        </w:rPr>
      </w:pPr>
    </w:p>
    <w:p w:rsidR="009338F0" w:rsidRDefault="009338F0" w:rsidP="009338F0">
      <w:pPr>
        <w:pStyle w:val="Corpotesto"/>
        <w:spacing w:line="360" w:lineRule="auto"/>
        <w:jc w:val="both"/>
        <w:rPr>
          <w:color w:val="auto"/>
          <w:sz w:val="22"/>
          <w:szCs w:val="22"/>
        </w:rPr>
      </w:pPr>
    </w:p>
    <w:p w:rsidR="00853A64" w:rsidRPr="004923E1" w:rsidRDefault="00853A64" w:rsidP="009338F0">
      <w:pPr>
        <w:pStyle w:val="Corpotesto"/>
        <w:spacing w:line="360" w:lineRule="auto"/>
        <w:jc w:val="both"/>
        <w:rPr>
          <w:color w:val="auto"/>
          <w:sz w:val="22"/>
          <w:szCs w:val="22"/>
        </w:rPr>
      </w:pPr>
    </w:p>
    <w:p w:rsidR="00876CF7" w:rsidRPr="004923E1" w:rsidRDefault="00876CF7">
      <w:pPr>
        <w:spacing w:line="360" w:lineRule="auto"/>
        <w:jc w:val="both"/>
        <w:rPr>
          <w:sz w:val="22"/>
          <w:szCs w:val="22"/>
          <w:lang w:val="de-DE"/>
        </w:rPr>
      </w:pPr>
      <w:bookmarkStart w:id="0" w:name="_GoBack"/>
      <w:bookmarkEnd w:id="0"/>
    </w:p>
    <w:sectPr w:rsidR="00876CF7" w:rsidRPr="004923E1">
      <w:footerReference w:type="even" r:id="rId9"/>
      <w:footerReference w:type="default" r:id="rId10"/>
      <w:pgSz w:w="11906" w:h="16838" w:code="9"/>
      <w:pgMar w:top="1418" w:right="1418" w:bottom="1134" w:left="1418"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F7" w:rsidRDefault="002E0BA5">
      <w:r>
        <w:separator/>
      </w:r>
    </w:p>
  </w:endnote>
  <w:endnote w:type="continuationSeparator" w:id="0">
    <w:p w:rsidR="00876CF7" w:rsidRDefault="002E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F7" w:rsidRDefault="002E0B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76CF7" w:rsidRDefault="00876C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F7" w:rsidRDefault="002E0B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F6FAD">
      <w:rPr>
        <w:rStyle w:val="Numeropagina"/>
        <w:noProof/>
      </w:rPr>
      <w:t>11</w:t>
    </w:r>
    <w:r>
      <w:rPr>
        <w:rStyle w:val="Numeropagina"/>
      </w:rPr>
      <w:fldChar w:fldCharType="end"/>
    </w:r>
  </w:p>
  <w:p w:rsidR="00876CF7" w:rsidRDefault="00876C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F7" w:rsidRDefault="002E0BA5">
      <w:r>
        <w:separator/>
      </w:r>
    </w:p>
  </w:footnote>
  <w:footnote w:type="continuationSeparator" w:id="0">
    <w:p w:rsidR="00876CF7" w:rsidRDefault="002E0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1F7"/>
    <w:multiLevelType w:val="hybridMultilevel"/>
    <w:tmpl w:val="6186AB5E"/>
    <w:lvl w:ilvl="0" w:tplc="F0B60B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1D67"/>
    <w:multiLevelType w:val="singleLevel"/>
    <w:tmpl w:val="819CE52C"/>
    <w:lvl w:ilvl="0">
      <w:numFmt w:val="bullet"/>
      <w:lvlText w:val="-"/>
      <w:lvlJc w:val="left"/>
      <w:pPr>
        <w:tabs>
          <w:tab w:val="num" w:pos="360"/>
        </w:tabs>
        <w:ind w:left="360" w:hanging="360"/>
      </w:pPr>
      <w:rPr>
        <w:rFonts w:ascii="Times New Roman" w:hAnsi="Times New Roman" w:hint="default"/>
      </w:rPr>
    </w:lvl>
  </w:abstractNum>
  <w:abstractNum w:abstractNumId="2">
    <w:nsid w:val="0D081B2F"/>
    <w:multiLevelType w:val="singleLevel"/>
    <w:tmpl w:val="0407000F"/>
    <w:lvl w:ilvl="0">
      <w:start w:val="1"/>
      <w:numFmt w:val="decimal"/>
      <w:lvlText w:val="%1."/>
      <w:lvlJc w:val="left"/>
      <w:pPr>
        <w:tabs>
          <w:tab w:val="num" w:pos="360"/>
        </w:tabs>
        <w:ind w:left="360" w:hanging="360"/>
      </w:pPr>
    </w:lvl>
  </w:abstractNum>
  <w:abstractNum w:abstractNumId="3">
    <w:nsid w:val="0F764976"/>
    <w:multiLevelType w:val="hybridMultilevel"/>
    <w:tmpl w:val="0CAEBE1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27F4E6F"/>
    <w:multiLevelType w:val="hybridMultilevel"/>
    <w:tmpl w:val="9126CA1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4C6793"/>
    <w:multiLevelType w:val="hybridMultilevel"/>
    <w:tmpl w:val="F474B462"/>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1E0E9B"/>
    <w:multiLevelType w:val="hybridMultilevel"/>
    <w:tmpl w:val="2A60091E"/>
    <w:lvl w:ilvl="0" w:tplc="4AFAEB5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35F2CAC"/>
    <w:multiLevelType w:val="hybridMultilevel"/>
    <w:tmpl w:val="F7C28CE8"/>
    <w:lvl w:ilvl="0" w:tplc="0666D94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04EFA"/>
    <w:multiLevelType w:val="singleLevel"/>
    <w:tmpl w:val="819CE52C"/>
    <w:lvl w:ilvl="0">
      <w:numFmt w:val="bullet"/>
      <w:lvlText w:val="-"/>
      <w:lvlJc w:val="left"/>
      <w:pPr>
        <w:tabs>
          <w:tab w:val="num" w:pos="360"/>
        </w:tabs>
        <w:ind w:left="360" w:hanging="360"/>
      </w:pPr>
      <w:rPr>
        <w:rFonts w:ascii="Times New Roman" w:hAnsi="Times New Roman" w:hint="default"/>
      </w:rPr>
    </w:lvl>
  </w:abstractNum>
  <w:abstractNum w:abstractNumId="9">
    <w:nsid w:val="296A7135"/>
    <w:multiLevelType w:val="singleLevel"/>
    <w:tmpl w:val="819CE52C"/>
    <w:lvl w:ilvl="0">
      <w:numFmt w:val="bullet"/>
      <w:lvlText w:val="-"/>
      <w:lvlJc w:val="left"/>
      <w:pPr>
        <w:tabs>
          <w:tab w:val="num" w:pos="360"/>
        </w:tabs>
        <w:ind w:left="360" w:hanging="360"/>
      </w:pPr>
      <w:rPr>
        <w:rFonts w:ascii="Times New Roman" w:hAnsi="Times New Roman" w:hint="default"/>
      </w:rPr>
    </w:lvl>
  </w:abstractNum>
  <w:abstractNum w:abstractNumId="10">
    <w:nsid w:val="2A484DD7"/>
    <w:multiLevelType w:val="hybridMultilevel"/>
    <w:tmpl w:val="EE3656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FC0E94"/>
    <w:multiLevelType w:val="hybridMultilevel"/>
    <w:tmpl w:val="70028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250C31"/>
    <w:multiLevelType w:val="hybridMultilevel"/>
    <w:tmpl w:val="BA56011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58F70D4"/>
    <w:multiLevelType w:val="hybridMultilevel"/>
    <w:tmpl w:val="7E7E3B9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EDA6E59"/>
    <w:multiLevelType w:val="hybridMultilevel"/>
    <w:tmpl w:val="1FFA3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C01DC6"/>
    <w:multiLevelType w:val="hybridMultilevel"/>
    <w:tmpl w:val="5036B3F0"/>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A881045"/>
    <w:multiLevelType w:val="hybridMultilevel"/>
    <w:tmpl w:val="0204C140"/>
    <w:lvl w:ilvl="0" w:tplc="4AFAE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1B5FE4"/>
    <w:multiLevelType w:val="hybridMultilevel"/>
    <w:tmpl w:val="0A665D7E"/>
    <w:lvl w:ilvl="0" w:tplc="04070007">
      <w:start w:val="1"/>
      <w:numFmt w:val="bullet"/>
      <w:lvlText w:val="-"/>
      <w:lvlJc w:val="left"/>
      <w:pPr>
        <w:tabs>
          <w:tab w:val="num" w:pos="720"/>
        </w:tabs>
        <w:ind w:left="720" w:hanging="360"/>
      </w:pPr>
      <w:rPr>
        <w:sz w:val="16"/>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993341"/>
    <w:multiLevelType w:val="hybridMultilevel"/>
    <w:tmpl w:val="EE36567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5ED7FED"/>
    <w:multiLevelType w:val="hybridMultilevel"/>
    <w:tmpl w:val="F474B46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BBD054C"/>
    <w:multiLevelType w:val="hybridMultilevel"/>
    <w:tmpl w:val="EAC4028A"/>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C0F3F7F"/>
    <w:multiLevelType w:val="hybridMultilevel"/>
    <w:tmpl w:val="70028D1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FB24D50"/>
    <w:multiLevelType w:val="hybridMultilevel"/>
    <w:tmpl w:val="EE36567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5395EC8"/>
    <w:multiLevelType w:val="hybridMultilevel"/>
    <w:tmpl w:val="C318F9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5C550DC"/>
    <w:multiLevelType w:val="hybridMultilevel"/>
    <w:tmpl w:val="85069DC4"/>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73170F0"/>
    <w:multiLevelType w:val="hybridMultilevel"/>
    <w:tmpl w:val="D95C4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BE587D"/>
    <w:multiLevelType w:val="hybridMultilevel"/>
    <w:tmpl w:val="1C10F2F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C8D0E8B"/>
    <w:multiLevelType w:val="hybridMultilevel"/>
    <w:tmpl w:val="5412C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7"/>
  </w:num>
  <w:num w:numId="6">
    <w:abstractNumId w:val="25"/>
  </w:num>
  <w:num w:numId="7">
    <w:abstractNumId w:val="14"/>
  </w:num>
  <w:num w:numId="8">
    <w:abstractNumId w:val="27"/>
  </w:num>
  <w:num w:numId="9">
    <w:abstractNumId w:val="0"/>
  </w:num>
  <w:num w:numId="10">
    <w:abstractNumId w:val="19"/>
  </w:num>
  <w:num w:numId="11">
    <w:abstractNumId w:val="21"/>
  </w:num>
  <w:num w:numId="12">
    <w:abstractNumId w:val="3"/>
  </w:num>
  <w:num w:numId="13">
    <w:abstractNumId w:val="23"/>
  </w:num>
  <w:num w:numId="14">
    <w:abstractNumId w:val="5"/>
  </w:num>
  <w:num w:numId="15">
    <w:abstractNumId w:val="12"/>
  </w:num>
  <w:num w:numId="16">
    <w:abstractNumId w:val="4"/>
  </w:num>
  <w:num w:numId="17">
    <w:abstractNumId w:val="17"/>
  </w:num>
  <w:num w:numId="18">
    <w:abstractNumId w:val="18"/>
  </w:num>
  <w:num w:numId="19">
    <w:abstractNumId w:val="10"/>
  </w:num>
  <w:num w:numId="20">
    <w:abstractNumId w:val="11"/>
  </w:num>
  <w:num w:numId="21">
    <w:abstractNumId w:val="22"/>
  </w:num>
  <w:num w:numId="22">
    <w:abstractNumId w:val="13"/>
  </w:num>
  <w:num w:numId="23">
    <w:abstractNumId w:val="26"/>
  </w:num>
  <w:num w:numId="24">
    <w:abstractNumId w:val="16"/>
  </w:num>
  <w:num w:numId="25">
    <w:abstractNumId w:val="6"/>
  </w:num>
  <w:num w:numId="26">
    <w:abstractNumId w:val="2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A5"/>
    <w:rsid w:val="00004429"/>
    <w:rsid w:val="00007275"/>
    <w:rsid w:val="0001033D"/>
    <w:rsid w:val="00012149"/>
    <w:rsid w:val="00025DEC"/>
    <w:rsid w:val="00056435"/>
    <w:rsid w:val="0006179B"/>
    <w:rsid w:val="00082E08"/>
    <w:rsid w:val="00094209"/>
    <w:rsid w:val="00096E82"/>
    <w:rsid w:val="000A1289"/>
    <w:rsid w:val="000A45DF"/>
    <w:rsid w:val="000B4684"/>
    <w:rsid w:val="000D0A25"/>
    <w:rsid w:val="000D31A8"/>
    <w:rsid w:val="000D69CD"/>
    <w:rsid w:val="000F3BBB"/>
    <w:rsid w:val="00102D5C"/>
    <w:rsid w:val="00105941"/>
    <w:rsid w:val="001133E8"/>
    <w:rsid w:val="00120069"/>
    <w:rsid w:val="0013200F"/>
    <w:rsid w:val="001339AC"/>
    <w:rsid w:val="00142656"/>
    <w:rsid w:val="00150A18"/>
    <w:rsid w:val="001802CE"/>
    <w:rsid w:val="00181202"/>
    <w:rsid w:val="00181B79"/>
    <w:rsid w:val="001A15CE"/>
    <w:rsid w:val="001A2834"/>
    <w:rsid w:val="001A42BA"/>
    <w:rsid w:val="001B48B9"/>
    <w:rsid w:val="001D241A"/>
    <w:rsid w:val="001E057F"/>
    <w:rsid w:val="001F7120"/>
    <w:rsid w:val="00215590"/>
    <w:rsid w:val="00217F84"/>
    <w:rsid w:val="00222A69"/>
    <w:rsid w:val="00254E0A"/>
    <w:rsid w:val="0026029E"/>
    <w:rsid w:val="00264869"/>
    <w:rsid w:val="002663F4"/>
    <w:rsid w:val="00270962"/>
    <w:rsid w:val="002727DE"/>
    <w:rsid w:val="00280E58"/>
    <w:rsid w:val="00286A62"/>
    <w:rsid w:val="002919BB"/>
    <w:rsid w:val="00293395"/>
    <w:rsid w:val="002A0BE1"/>
    <w:rsid w:val="002A1D33"/>
    <w:rsid w:val="002A7E34"/>
    <w:rsid w:val="002A7EE1"/>
    <w:rsid w:val="002A7FAF"/>
    <w:rsid w:val="002C2DF4"/>
    <w:rsid w:val="002C5E84"/>
    <w:rsid w:val="002D0F97"/>
    <w:rsid w:val="002D3642"/>
    <w:rsid w:val="002E0680"/>
    <w:rsid w:val="002E0BA5"/>
    <w:rsid w:val="002F7307"/>
    <w:rsid w:val="00310191"/>
    <w:rsid w:val="003114A6"/>
    <w:rsid w:val="003358B6"/>
    <w:rsid w:val="00340BFF"/>
    <w:rsid w:val="00341FB8"/>
    <w:rsid w:val="00343EE3"/>
    <w:rsid w:val="003479C2"/>
    <w:rsid w:val="00360CC2"/>
    <w:rsid w:val="00361B1A"/>
    <w:rsid w:val="00371DA3"/>
    <w:rsid w:val="00373027"/>
    <w:rsid w:val="00373194"/>
    <w:rsid w:val="00387517"/>
    <w:rsid w:val="0039592C"/>
    <w:rsid w:val="003A20B2"/>
    <w:rsid w:val="003B02BE"/>
    <w:rsid w:val="003B6D14"/>
    <w:rsid w:val="003C533E"/>
    <w:rsid w:val="003C580D"/>
    <w:rsid w:val="003C6094"/>
    <w:rsid w:val="003C625A"/>
    <w:rsid w:val="003D2FE0"/>
    <w:rsid w:val="003D475E"/>
    <w:rsid w:val="003D5E09"/>
    <w:rsid w:val="003D635E"/>
    <w:rsid w:val="003D6424"/>
    <w:rsid w:val="003E13E2"/>
    <w:rsid w:val="003E600A"/>
    <w:rsid w:val="00405407"/>
    <w:rsid w:val="00425719"/>
    <w:rsid w:val="00425A0E"/>
    <w:rsid w:val="00426BF7"/>
    <w:rsid w:val="00430290"/>
    <w:rsid w:val="004345D3"/>
    <w:rsid w:val="00440233"/>
    <w:rsid w:val="004472FD"/>
    <w:rsid w:val="00452F3A"/>
    <w:rsid w:val="00490A1B"/>
    <w:rsid w:val="00492259"/>
    <w:rsid w:val="004923E1"/>
    <w:rsid w:val="004A41F8"/>
    <w:rsid w:val="004C4CC2"/>
    <w:rsid w:val="004C77E1"/>
    <w:rsid w:val="004D38A0"/>
    <w:rsid w:val="004E7A39"/>
    <w:rsid w:val="004F0023"/>
    <w:rsid w:val="005048D4"/>
    <w:rsid w:val="0052471B"/>
    <w:rsid w:val="00525602"/>
    <w:rsid w:val="00531258"/>
    <w:rsid w:val="0054624F"/>
    <w:rsid w:val="005471A2"/>
    <w:rsid w:val="0055269C"/>
    <w:rsid w:val="0055765F"/>
    <w:rsid w:val="00583E4B"/>
    <w:rsid w:val="00585D04"/>
    <w:rsid w:val="00595739"/>
    <w:rsid w:val="00597A12"/>
    <w:rsid w:val="005D7BAD"/>
    <w:rsid w:val="00604CD3"/>
    <w:rsid w:val="006243BC"/>
    <w:rsid w:val="00635B83"/>
    <w:rsid w:val="00644B01"/>
    <w:rsid w:val="00645AB4"/>
    <w:rsid w:val="006527C1"/>
    <w:rsid w:val="00652DEA"/>
    <w:rsid w:val="00655E81"/>
    <w:rsid w:val="00660DFA"/>
    <w:rsid w:val="0067602E"/>
    <w:rsid w:val="0068073D"/>
    <w:rsid w:val="00680E1A"/>
    <w:rsid w:val="00681AEA"/>
    <w:rsid w:val="006843A7"/>
    <w:rsid w:val="00687CFC"/>
    <w:rsid w:val="00694C97"/>
    <w:rsid w:val="006B1964"/>
    <w:rsid w:val="006D201F"/>
    <w:rsid w:val="006D3E5F"/>
    <w:rsid w:val="006E4FE5"/>
    <w:rsid w:val="006F555F"/>
    <w:rsid w:val="00700F8B"/>
    <w:rsid w:val="00706E12"/>
    <w:rsid w:val="00724D7C"/>
    <w:rsid w:val="0073226C"/>
    <w:rsid w:val="00743F3F"/>
    <w:rsid w:val="00744158"/>
    <w:rsid w:val="00746827"/>
    <w:rsid w:val="007520BB"/>
    <w:rsid w:val="007643D6"/>
    <w:rsid w:val="007713D7"/>
    <w:rsid w:val="00774588"/>
    <w:rsid w:val="007777B7"/>
    <w:rsid w:val="00777FC3"/>
    <w:rsid w:val="00781416"/>
    <w:rsid w:val="00783B07"/>
    <w:rsid w:val="00787CFA"/>
    <w:rsid w:val="00796771"/>
    <w:rsid w:val="007A1FB9"/>
    <w:rsid w:val="007B151B"/>
    <w:rsid w:val="007B16E7"/>
    <w:rsid w:val="007B64DB"/>
    <w:rsid w:val="007C3626"/>
    <w:rsid w:val="007F4492"/>
    <w:rsid w:val="007F7FB4"/>
    <w:rsid w:val="008071CF"/>
    <w:rsid w:val="008160AA"/>
    <w:rsid w:val="008167DC"/>
    <w:rsid w:val="008244D1"/>
    <w:rsid w:val="008308AB"/>
    <w:rsid w:val="00837C57"/>
    <w:rsid w:val="008531E5"/>
    <w:rsid w:val="00853A64"/>
    <w:rsid w:val="0086569E"/>
    <w:rsid w:val="008742F5"/>
    <w:rsid w:val="00876CF7"/>
    <w:rsid w:val="00897425"/>
    <w:rsid w:val="008A056B"/>
    <w:rsid w:val="008B17CC"/>
    <w:rsid w:val="008B303A"/>
    <w:rsid w:val="008C1C3B"/>
    <w:rsid w:val="008D1A03"/>
    <w:rsid w:val="008D6924"/>
    <w:rsid w:val="008F61BF"/>
    <w:rsid w:val="008F6FAD"/>
    <w:rsid w:val="00907421"/>
    <w:rsid w:val="00912C8B"/>
    <w:rsid w:val="00915CA8"/>
    <w:rsid w:val="00917D7F"/>
    <w:rsid w:val="009338F0"/>
    <w:rsid w:val="0095570D"/>
    <w:rsid w:val="00961D25"/>
    <w:rsid w:val="00975E76"/>
    <w:rsid w:val="00977F82"/>
    <w:rsid w:val="00986FF0"/>
    <w:rsid w:val="009870C0"/>
    <w:rsid w:val="00993245"/>
    <w:rsid w:val="009A3D43"/>
    <w:rsid w:val="009A3E2E"/>
    <w:rsid w:val="009E43D5"/>
    <w:rsid w:val="009E7C48"/>
    <w:rsid w:val="009F051E"/>
    <w:rsid w:val="009F0618"/>
    <w:rsid w:val="009F1605"/>
    <w:rsid w:val="00A03061"/>
    <w:rsid w:val="00A25527"/>
    <w:rsid w:val="00A43660"/>
    <w:rsid w:val="00A557EF"/>
    <w:rsid w:val="00A60D98"/>
    <w:rsid w:val="00A63132"/>
    <w:rsid w:val="00A63D8C"/>
    <w:rsid w:val="00A67FD6"/>
    <w:rsid w:val="00A73E85"/>
    <w:rsid w:val="00A77F7E"/>
    <w:rsid w:val="00A8021A"/>
    <w:rsid w:val="00A811BE"/>
    <w:rsid w:val="00A841FD"/>
    <w:rsid w:val="00A85616"/>
    <w:rsid w:val="00A86B1D"/>
    <w:rsid w:val="00A86EDF"/>
    <w:rsid w:val="00A87A42"/>
    <w:rsid w:val="00A977EF"/>
    <w:rsid w:val="00AA01CB"/>
    <w:rsid w:val="00AA3D28"/>
    <w:rsid w:val="00AD1800"/>
    <w:rsid w:val="00AD2C12"/>
    <w:rsid w:val="00AD519A"/>
    <w:rsid w:val="00AE0629"/>
    <w:rsid w:val="00B62668"/>
    <w:rsid w:val="00B64CE7"/>
    <w:rsid w:val="00B6534A"/>
    <w:rsid w:val="00B66D66"/>
    <w:rsid w:val="00B83265"/>
    <w:rsid w:val="00B86FDD"/>
    <w:rsid w:val="00BA2798"/>
    <w:rsid w:val="00BB12C1"/>
    <w:rsid w:val="00BF0B6A"/>
    <w:rsid w:val="00BF1032"/>
    <w:rsid w:val="00C07525"/>
    <w:rsid w:val="00C1605A"/>
    <w:rsid w:val="00C164E9"/>
    <w:rsid w:val="00C165AA"/>
    <w:rsid w:val="00C23B51"/>
    <w:rsid w:val="00C33A6D"/>
    <w:rsid w:val="00C3648C"/>
    <w:rsid w:val="00C71B17"/>
    <w:rsid w:val="00C82C07"/>
    <w:rsid w:val="00C863F7"/>
    <w:rsid w:val="00C8667E"/>
    <w:rsid w:val="00C9439D"/>
    <w:rsid w:val="00C963B9"/>
    <w:rsid w:val="00CA362A"/>
    <w:rsid w:val="00CC2A74"/>
    <w:rsid w:val="00CC4798"/>
    <w:rsid w:val="00CC6865"/>
    <w:rsid w:val="00CD5F12"/>
    <w:rsid w:val="00CD6EB0"/>
    <w:rsid w:val="00CE7E4B"/>
    <w:rsid w:val="00CF2937"/>
    <w:rsid w:val="00CF4380"/>
    <w:rsid w:val="00D02DD8"/>
    <w:rsid w:val="00D034C6"/>
    <w:rsid w:val="00D04689"/>
    <w:rsid w:val="00D161B0"/>
    <w:rsid w:val="00D3183A"/>
    <w:rsid w:val="00D32417"/>
    <w:rsid w:val="00D376D0"/>
    <w:rsid w:val="00D433D9"/>
    <w:rsid w:val="00D50F94"/>
    <w:rsid w:val="00D51885"/>
    <w:rsid w:val="00D71D0C"/>
    <w:rsid w:val="00D96198"/>
    <w:rsid w:val="00DB53DE"/>
    <w:rsid w:val="00DC6049"/>
    <w:rsid w:val="00DD5BDC"/>
    <w:rsid w:val="00DD6875"/>
    <w:rsid w:val="00DE2BED"/>
    <w:rsid w:val="00E16269"/>
    <w:rsid w:val="00E23AEA"/>
    <w:rsid w:val="00E27769"/>
    <w:rsid w:val="00E34492"/>
    <w:rsid w:val="00E367A9"/>
    <w:rsid w:val="00E47001"/>
    <w:rsid w:val="00E51C0B"/>
    <w:rsid w:val="00E52F1A"/>
    <w:rsid w:val="00E53D05"/>
    <w:rsid w:val="00E55FAB"/>
    <w:rsid w:val="00E73F06"/>
    <w:rsid w:val="00E747ED"/>
    <w:rsid w:val="00E86A94"/>
    <w:rsid w:val="00E90717"/>
    <w:rsid w:val="00E95316"/>
    <w:rsid w:val="00EA49C7"/>
    <w:rsid w:val="00EB74B4"/>
    <w:rsid w:val="00EC5170"/>
    <w:rsid w:val="00EF4B28"/>
    <w:rsid w:val="00F003FD"/>
    <w:rsid w:val="00F121CC"/>
    <w:rsid w:val="00F246D9"/>
    <w:rsid w:val="00F3494C"/>
    <w:rsid w:val="00F34C9E"/>
    <w:rsid w:val="00F40B9F"/>
    <w:rsid w:val="00F445F1"/>
    <w:rsid w:val="00F44BD6"/>
    <w:rsid w:val="00F640E6"/>
    <w:rsid w:val="00F65054"/>
    <w:rsid w:val="00F7169E"/>
    <w:rsid w:val="00F77A3C"/>
    <w:rsid w:val="00F82EF3"/>
    <w:rsid w:val="00F8456D"/>
    <w:rsid w:val="00F87329"/>
    <w:rsid w:val="00F97D55"/>
    <w:rsid w:val="00FA0C58"/>
    <w:rsid w:val="00FB60D7"/>
    <w:rsid w:val="00FB62E2"/>
    <w:rsid w:val="00FC360B"/>
    <w:rsid w:val="00FD5AA8"/>
    <w:rsid w:val="00FE0F22"/>
    <w:rsid w:val="00FE1430"/>
    <w:rsid w:val="00FE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spacing w:line="360" w:lineRule="auto"/>
      <w:outlineLvl w:val="0"/>
    </w:pPr>
    <w:rPr>
      <w:b/>
      <w:bCs/>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lang w:val="en-GB" w:eastAsia="en-US"/>
    </w:rPr>
  </w:style>
  <w:style w:type="paragraph" w:styleId="Sottotitolo">
    <w:name w:val="Subtitle"/>
    <w:basedOn w:val="Normale"/>
    <w:link w:val="SottotitoloCarattere"/>
    <w:qFormat/>
    <w:pPr>
      <w:spacing w:line="320" w:lineRule="exact"/>
    </w:pPr>
    <w:rPr>
      <w:rFonts w:ascii="Arial" w:hAnsi="Arial" w:cs="Arial"/>
      <w:b/>
      <w:bCs/>
      <w:i/>
      <w:iCs/>
      <w:lang w:val="de-DE" w:eastAsia="en-US"/>
    </w:rPr>
  </w:style>
  <w:style w:type="paragraph" w:styleId="Corpotesto">
    <w:name w:val="Body Text"/>
    <w:basedOn w:val="Normale"/>
    <w:link w:val="CorpotestoCarattere"/>
    <w:semiHidden/>
    <w:pPr>
      <w:autoSpaceDE w:val="0"/>
      <w:autoSpaceDN w:val="0"/>
      <w:adjustRightInd w:val="0"/>
    </w:pPr>
    <w:rPr>
      <w:rFonts w:ascii="Arial" w:hAnsi="Arial" w:cs="Arial"/>
      <w:color w:val="000000"/>
      <w:lang w:val="de-DE" w:eastAsia="en-US"/>
    </w:rPr>
  </w:style>
  <w:style w:type="paragraph" w:styleId="Corpodeltesto2">
    <w:name w:val="Body Text 2"/>
    <w:basedOn w:val="Normale"/>
    <w:semiHidden/>
    <w:pPr>
      <w:autoSpaceDE w:val="0"/>
      <w:autoSpaceDN w:val="0"/>
      <w:adjustRightInd w:val="0"/>
      <w:spacing w:line="360" w:lineRule="auto"/>
      <w:jc w:val="both"/>
    </w:pPr>
    <w:rPr>
      <w:rFonts w:ascii="Arial" w:hAnsi="Arial" w:cs="Arial"/>
      <w:lang w:val="de-DE" w:eastAsia="en-US"/>
    </w:rPr>
  </w:style>
  <w:style w:type="paragraph" w:styleId="Pidipagina">
    <w:name w:val="footer"/>
    <w:basedOn w:val="Normale"/>
    <w:semiHidden/>
    <w:pPr>
      <w:tabs>
        <w:tab w:val="center" w:pos="4153"/>
        <w:tab w:val="right" w:pos="8306"/>
      </w:tabs>
    </w:pPr>
    <w:rPr>
      <w:sz w:val="20"/>
      <w:szCs w:val="20"/>
      <w:lang w:val="de-DE" w:eastAsia="en-US"/>
    </w:rPr>
  </w:style>
  <w:style w:type="character" w:styleId="Numeropagina">
    <w:name w:val="page number"/>
    <w:basedOn w:val="Carpredefinitoparagrafo"/>
    <w:semiHidden/>
  </w:style>
  <w:style w:type="paragraph" w:styleId="Corpodeltesto3">
    <w:name w:val="Body Text 3"/>
    <w:basedOn w:val="Normale"/>
    <w:semiHidden/>
    <w:pPr>
      <w:autoSpaceDE w:val="0"/>
      <w:autoSpaceDN w:val="0"/>
      <w:adjustRightInd w:val="0"/>
      <w:spacing w:line="360" w:lineRule="auto"/>
      <w:jc w:val="both"/>
    </w:pPr>
    <w:rPr>
      <w:rFonts w:ascii="Arial" w:hAnsi="Arial" w:cs="Arial"/>
      <w:sz w:val="22"/>
      <w:lang w:val="de-DE" w:eastAsia="en-US"/>
    </w:rPr>
  </w:style>
  <w:style w:type="paragraph" w:styleId="Testofumetto">
    <w:name w:val="Balloon Text"/>
    <w:basedOn w:val="Normale"/>
    <w:link w:val="TestofumettoCarattere"/>
    <w:uiPriority w:val="99"/>
    <w:semiHidden/>
    <w:unhideWhenUsed/>
    <w:rsid w:val="002A1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D33"/>
    <w:rPr>
      <w:rFonts w:ascii="Tahoma" w:hAnsi="Tahoma" w:cs="Tahoma"/>
      <w:sz w:val="16"/>
      <w:szCs w:val="16"/>
      <w:lang w:val="it-IT" w:eastAsia="it-IT"/>
    </w:rPr>
  </w:style>
  <w:style w:type="character" w:customStyle="1" w:styleId="CorpotestoCarattere">
    <w:name w:val="Corpo testo Carattere"/>
    <w:link w:val="Corpotesto"/>
    <w:semiHidden/>
    <w:rsid w:val="008C1C3B"/>
    <w:rPr>
      <w:rFonts w:ascii="Arial" w:hAnsi="Arial" w:cs="Arial"/>
      <w:color w:val="000000"/>
      <w:sz w:val="24"/>
      <w:szCs w:val="24"/>
      <w:lang w:val="de-DE"/>
    </w:rPr>
  </w:style>
  <w:style w:type="character" w:customStyle="1" w:styleId="SottotitoloCarattere">
    <w:name w:val="Sottotitolo Carattere"/>
    <w:basedOn w:val="Carpredefinitoparagrafo"/>
    <w:link w:val="Sottotitolo"/>
    <w:rsid w:val="008B303A"/>
    <w:rPr>
      <w:rFonts w:ascii="Arial" w:hAnsi="Arial" w:cs="Arial"/>
      <w:b/>
      <w:bCs/>
      <w:i/>
      <w:iCs/>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spacing w:line="360" w:lineRule="auto"/>
      <w:outlineLvl w:val="0"/>
    </w:pPr>
    <w:rPr>
      <w:b/>
      <w:bCs/>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lang w:val="en-GB" w:eastAsia="en-US"/>
    </w:rPr>
  </w:style>
  <w:style w:type="paragraph" w:styleId="Sottotitolo">
    <w:name w:val="Subtitle"/>
    <w:basedOn w:val="Normale"/>
    <w:link w:val="SottotitoloCarattere"/>
    <w:qFormat/>
    <w:pPr>
      <w:spacing w:line="320" w:lineRule="exact"/>
    </w:pPr>
    <w:rPr>
      <w:rFonts w:ascii="Arial" w:hAnsi="Arial" w:cs="Arial"/>
      <w:b/>
      <w:bCs/>
      <w:i/>
      <w:iCs/>
      <w:lang w:val="de-DE" w:eastAsia="en-US"/>
    </w:rPr>
  </w:style>
  <w:style w:type="paragraph" w:styleId="Corpotesto">
    <w:name w:val="Body Text"/>
    <w:basedOn w:val="Normale"/>
    <w:link w:val="CorpotestoCarattere"/>
    <w:semiHidden/>
    <w:pPr>
      <w:autoSpaceDE w:val="0"/>
      <w:autoSpaceDN w:val="0"/>
      <w:adjustRightInd w:val="0"/>
    </w:pPr>
    <w:rPr>
      <w:rFonts w:ascii="Arial" w:hAnsi="Arial" w:cs="Arial"/>
      <w:color w:val="000000"/>
      <w:lang w:val="de-DE" w:eastAsia="en-US"/>
    </w:rPr>
  </w:style>
  <w:style w:type="paragraph" w:styleId="Corpodeltesto2">
    <w:name w:val="Body Text 2"/>
    <w:basedOn w:val="Normale"/>
    <w:semiHidden/>
    <w:pPr>
      <w:autoSpaceDE w:val="0"/>
      <w:autoSpaceDN w:val="0"/>
      <w:adjustRightInd w:val="0"/>
      <w:spacing w:line="360" w:lineRule="auto"/>
      <w:jc w:val="both"/>
    </w:pPr>
    <w:rPr>
      <w:rFonts w:ascii="Arial" w:hAnsi="Arial" w:cs="Arial"/>
      <w:lang w:val="de-DE" w:eastAsia="en-US"/>
    </w:rPr>
  </w:style>
  <w:style w:type="paragraph" w:styleId="Pidipagina">
    <w:name w:val="footer"/>
    <w:basedOn w:val="Normale"/>
    <w:semiHidden/>
    <w:pPr>
      <w:tabs>
        <w:tab w:val="center" w:pos="4153"/>
        <w:tab w:val="right" w:pos="8306"/>
      </w:tabs>
    </w:pPr>
    <w:rPr>
      <w:sz w:val="20"/>
      <w:szCs w:val="20"/>
      <w:lang w:val="de-DE" w:eastAsia="en-US"/>
    </w:rPr>
  </w:style>
  <w:style w:type="character" w:styleId="Numeropagina">
    <w:name w:val="page number"/>
    <w:basedOn w:val="Carpredefinitoparagrafo"/>
    <w:semiHidden/>
  </w:style>
  <w:style w:type="paragraph" w:styleId="Corpodeltesto3">
    <w:name w:val="Body Text 3"/>
    <w:basedOn w:val="Normale"/>
    <w:semiHidden/>
    <w:pPr>
      <w:autoSpaceDE w:val="0"/>
      <w:autoSpaceDN w:val="0"/>
      <w:adjustRightInd w:val="0"/>
      <w:spacing w:line="360" w:lineRule="auto"/>
      <w:jc w:val="both"/>
    </w:pPr>
    <w:rPr>
      <w:rFonts w:ascii="Arial" w:hAnsi="Arial" w:cs="Arial"/>
      <w:sz w:val="22"/>
      <w:lang w:val="de-DE" w:eastAsia="en-US"/>
    </w:rPr>
  </w:style>
  <w:style w:type="paragraph" w:styleId="Testofumetto">
    <w:name w:val="Balloon Text"/>
    <w:basedOn w:val="Normale"/>
    <w:link w:val="TestofumettoCarattere"/>
    <w:uiPriority w:val="99"/>
    <w:semiHidden/>
    <w:unhideWhenUsed/>
    <w:rsid w:val="002A1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D33"/>
    <w:rPr>
      <w:rFonts w:ascii="Tahoma" w:hAnsi="Tahoma" w:cs="Tahoma"/>
      <w:sz w:val="16"/>
      <w:szCs w:val="16"/>
      <w:lang w:val="it-IT" w:eastAsia="it-IT"/>
    </w:rPr>
  </w:style>
  <w:style w:type="character" w:customStyle="1" w:styleId="CorpotestoCarattere">
    <w:name w:val="Corpo testo Carattere"/>
    <w:link w:val="Corpotesto"/>
    <w:semiHidden/>
    <w:rsid w:val="008C1C3B"/>
    <w:rPr>
      <w:rFonts w:ascii="Arial" w:hAnsi="Arial" w:cs="Arial"/>
      <w:color w:val="000000"/>
      <w:sz w:val="24"/>
      <w:szCs w:val="24"/>
      <w:lang w:val="de-DE"/>
    </w:rPr>
  </w:style>
  <w:style w:type="character" w:customStyle="1" w:styleId="SottotitoloCarattere">
    <w:name w:val="Sottotitolo Carattere"/>
    <w:basedOn w:val="Carpredefinitoparagrafo"/>
    <w:link w:val="Sottotitolo"/>
    <w:rsid w:val="008B303A"/>
    <w:rPr>
      <w:rFonts w:ascii="Arial" w:hAnsi="Arial" w:cs="Arial"/>
      <w:b/>
      <w:bCs/>
      <w:i/>
      <w:i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4892-BE5F-4029-8CBE-48A511E9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3015</Words>
  <Characters>18616</Characters>
  <Application>Microsoft Office Word</Application>
  <DocSecurity>0</DocSecurity>
  <Lines>155</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Sehr geehrte Mitglieder des Verwaltungsrates</vt:lpstr>
      <vt:lpstr>Sehr geehrte Mitglieder des Verwaltungsrates</vt:lpstr>
    </vt:vector>
  </TitlesOfParts>
  <Company>Wobi Ipes</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Mitglieder des Verwaltungsrates</dc:title>
  <dc:creator>WOBI-IPES</dc:creator>
  <cp:lastModifiedBy>Monica LESCIO</cp:lastModifiedBy>
  <cp:revision>4</cp:revision>
  <cp:lastPrinted>2013-10-28T13:30:00Z</cp:lastPrinted>
  <dcterms:created xsi:type="dcterms:W3CDTF">2015-11-04T09:05:00Z</dcterms:created>
  <dcterms:modified xsi:type="dcterms:W3CDTF">2015-11-04T09:07:00Z</dcterms:modified>
</cp:coreProperties>
</file>